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1" w:rsidRPr="008A58D3" w:rsidRDefault="003272C1" w:rsidP="008A58D3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A58D3">
        <w:rPr>
          <w:rFonts w:ascii="Arial" w:hAnsi="Arial" w:cs="Arial"/>
          <w:sz w:val="28"/>
          <w:szCs w:val="28"/>
        </w:rPr>
        <w:t>iHEA</w:t>
      </w:r>
      <w:proofErr w:type="spellEnd"/>
      <w:proofErr w:type="gramEnd"/>
      <w:r w:rsidRPr="008A58D3">
        <w:rPr>
          <w:rFonts w:ascii="Arial" w:hAnsi="Arial" w:cs="Arial"/>
          <w:sz w:val="28"/>
          <w:szCs w:val="28"/>
        </w:rPr>
        <w:t xml:space="preserve"> preconference session proposal</w:t>
      </w:r>
    </w:p>
    <w:p w:rsidR="00C57CFA" w:rsidRPr="00113AA7" w:rsidRDefault="00C57CFA">
      <w:pPr>
        <w:rPr>
          <w:rFonts w:ascii="Arial" w:hAnsi="Arial" w:cs="Arial"/>
        </w:rPr>
      </w:pPr>
      <w:r w:rsidRPr="00113AA7">
        <w:rPr>
          <w:rFonts w:ascii="Arial" w:hAnsi="Arial" w:cs="Arial"/>
        </w:rPr>
        <w:t>Workshop format</w:t>
      </w:r>
      <w:r w:rsidR="003272C1" w:rsidRPr="00113AA7">
        <w:rPr>
          <w:rFonts w:ascii="Arial" w:hAnsi="Arial" w:cs="Arial"/>
        </w:rPr>
        <w:t xml:space="preserve"> – open session!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Name, institutional affiliation and contact details of session organizer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openIMIS</w:t>
      </w:r>
      <w:proofErr w:type="spellEnd"/>
      <w:r>
        <w:rPr>
          <w:rFonts w:ascii="Arial" w:hAnsi="Arial" w:cs="Arial"/>
        </w:rPr>
        <w:t xml:space="preserve"> Initiative </w:t>
      </w:r>
      <w:proofErr w:type="spellStart"/>
      <w:r w:rsidR="00A81738">
        <w:rPr>
          <w:rFonts w:ascii="Arial" w:hAnsi="Arial" w:cs="Arial"/>
        </w:rPr>
        <w:t>Siddharth</w:t>
      </w:r>
      <w:proofErr w:type="spellEnd"/>
      <w:r w:rsidR="00A81738">
        <w:rPr>
          <w:rFonts w:ascii="Arial" w:hAnsi="Arial" w:cs="Arial"/>
        </w:rPr>
        <w:t>, Swiss TPH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Session title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V</w:t>
      </w:r>
      <w:r w:rsidRPr="00E04E16">
        <w:rPr>
          <w:rFonts w:ascii="Arial" w:hAnsi="Arial" w:cs="Arial"/>
          <w:i/>
        </w:rPr>
        <w:t>alue of health insurance data f</w:t>
      </w:r>
      <w:r w:rsidR="00A5393B">
        <w:rPr>
          <w:rFonts w:ascii="Arial" w:hAnsi="Arial" w:cs="Arial"/>
          <w:i/>
        </w:rPr>
        <w:t>rom a public health perspective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A description of the intended audience for the session</w:t>
      </w:r>
      <w:r>
        <w:rPr>
          <w:rFonts w:ascii="Arial" w:hAnsi="Arial" w:cs="Arial"/>
        </w:rPr>
        <w:t xml:space="preserve">: </w:t>
      </w:r>
      <w:r w:rsidRPr="003272C1">
        <w:rPr>
          <w:rFonts w:ascii="Arial" w:hAnsi="Arial" w:cs="Arial"/>
          <w:i/>
        </w:rPr>
        <w:t>Academics and practitioners i</w:t>
      </w:r>
      <w:r w:rsidR="00A5393B">
        <w:rPr>
          <w:rFonts w:ascii="Arial" w:hAnsi="Arial" w:cs="Arial"/>
          <w:i/>
        </w:rPr>
        <w:t>n the area of health financing in Europe and abroad (emphasis on low and middle income countries)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Session length (2 hours, ½ day or full day, or two-days)</w:t>
      </w:r>
      <w:r>
        <w:rPr>
          <w:rFonts w:ascii="Arial" w:hAnsi="Arial" w:cs="Arial"/>
        </w:rPr>
        <w:t xml:space="preserve"> –</w:t>
      </w:r>
      <w:r w:rsidR="008A58D3">
        <w:rPr>
          <w:rFonts w:ascii="Arial" w:hAnsi="Arial" w:cs="Arial"/>
        </w:rPr>
        <w:t xml:space="preserve"> </w:t>
      </w:r>
      <w:r w:rsidR="008A58D3">
        <w:rPr>
          <w:rFonts w:ascii="Arial" w:hAnsi="Arial" w:cs="Arial"/>
          <w:i/>
        </w:rPr>
        <w:t>half a day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Required room size</w:t>
      </w:r>
      <w:r w:rsidR="00A5393B">
        <w:rPr>
          <w:rFonts w:ascii="Arial" w:hAnsi="Arial" w:cs="Arial"/>
        </w:rPr>
        <w:t xml:space="preserve"> – </w:t>
      </w:r>
      <w:r w:rsidR="00A4358F">
        <w:rPr>
          <w:rFonts w:ascii="Arial" w:hAnsi="Arial" w:cs="Arial"/>
        </w:rPr>
        <w:t>4</w:t>
      </w:r>
      <w:r w:rsidR="008A58D3">
        <w:rPr>
          <w:rFonts w:ascii="Arial" w:hAnsi="Arial" w:cs="Arial"/>
          <w:i/>
        </w:rPr>
        <w:t>0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Preferred session date</w:t>
      </w:r>
      <w:r w:rsidRPr="003272C1">
        <w:rPr>
          <w:rFonts w:ascii="Arial" w:hAnsi="Arial" w:cs="Arial"/>
        </w:rPr>
        <w:t xml:space="preserve"> (13</w:t>
      </w:r>
      <w:r w:rsidRPr="003272C1">
        <w:rPr>
          <w:rFonts w:ascii="Arial" w:hAnsi="Arial" w:cs="Arial"/>
          <w:vertAlign w:val="superscript"/>
        </w:rPr>
        <w:t>th</w:t>
      </w:r>
      <w:r w:rsidRPr="003272C1">
        <w:rPr>
          <w:rFonts w:ascii="Arial" w:hAnsi="Arial" w:cs="Arial"/>
        </w:rPr>
        <w:t> or 14</w:t>
      </w:r>
      <w:r w:rsidRPr="003272C1">
        <w:rPr>
          <w:rFonts w:ascii="Arial" w:hAnsi="Arial" w:cs="Arial"/>
          <w:vertAlign w:val="superscript"/>
        </w:rPr>
        <w:t>th</w:t>
      </w:r>
      <w:r w:rsidRPr="003272C1">
        <w:rPr>
          <w:rFonts w:ascii="Arial" w:hAnsi="Arial" w:cs="Arial"/>
        </w:rPr>
        <w:t> July, noting that scheduling will be done on a first come, first served basis)</w:t>
      </w:r>
      <w:r w:rsidR="00A5393B">
        <w:rPr>
          <w:rFonts w:ascii="Arial" w:hAnsi="Arial" w:cs="Arial"/>
        </w:rPr>
        <w:t xml:space="preserve"> – </w:t>
      </w:r>
      <w:r w:rsidR="00A5393B" w:rsidRPr="00A5393B">
        <w:rPr>
          <w:rFonts w:ascii="Arial" w:hAnsi="Arial" w:cs="Arial"/>
          <w:i/>
        </w:rPr>
        <w:t>14</w:t>
      </w:r>
      <w:r w:rsidR="00A5393B" w:rsidRPr="00A5393B">
        <w:rPr>
          <w:rFonts w:ascii="Arial" w:hAnsi="Arial" w:cs="Arial"/>
          <w:i/>
          <w:vertAlign w:val="superscript"/>
        </w:rPr>
        <w:t>th</w:t>
      </w:r>
      <w:r w:rsidR="008A58D3">
        <w:rPr>
          <w:rFonts w:ascii="Arial" w:hAnsi="Arial" w:cs="Arial"/>
          <w:i/>
        </w:rPr>
        <w:t xml:space="preserve"> </w:t>
      </w:r>
      <w:r w:rsidR="007B7748">
        <w:rPr>
          <w:rFonts w:ascii="Arial" w:hAnsi="Arial" w:cs="Arial"/>
          <w:i/>
        </w:rPr>
        <w:t>morning</w:t>
      </w:r>
    </w:p>
    <w:p w:rsidR="003272C1" w:rsidRPr="003272C1" w:rsidRDefault="003272C1" w:rsidP="003272C1">
      <w:pPr>
        <w:numPr>
          <w:ilvl w:val="0"/>
          <w:numId w:val="1"/>
        </w:numPr>
        <w:rPr>
          <w:rFonts w:ascii="Arial" w:hAnsi="Arial" w:cs="Arial"/>
        </w:rPr>
      </w:pPr>
      <w:r w:rsidRPr="008A58D3">
        <w:rPr>
          <w:rFonts w:ascii="Arial" w:hAnsi="Arial" w:cs="Arial"/>
          <w:u w:val="single"/>
        </w:rPr>
        <w:t>Description of session format</w:t>
      </w:r>
      <w:r w:rsidR="008A58D3">
        <w:rPr>
          <w:rFonts w:ascii="Arial" w:hAnsi="Arial" w:cs="Arial"/>
        </w:rPr>
        <w:t xml:space="preserve"> </w:t>
      </w:r>
      <w:r w:rsidR="00A5393B">
        <w:rPr>
          <w:rFonts w:ascii="Arial" w:hAnsi="Arial" w:cs="Arial"/>
        </w:rPr>
        <w:t xml:space="preserve">– </w:t>
      </w:r>
      <w:r w:rsidR="00A5393B" w:rsidRPr="00A5393B">
        <w:rPr>
          <w:rFonts w:ascii="Arial" w:hAnsi="Arial" w:cs="Arial"/>
          <w:i/>
        </w:rPr>
        <w:t>Workshop format open to all delegates</w:t>
      </w:r>
    </w:p>
    <w:p w:rsidR="008A58D3" w:rsidRPr="008A58D3" w:rsidRDefault="003272C1" w:rsidP="0064334A">
      <w:pPr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8A58D3">
        <w:rPr>
          <w:rFonts w:ascii="Arial" w:hAnsi="Arial" w:cs="Arial"/>
          <w:u w:val="single"/>
        </w:rPr>
        <w:t>Description of the session content</w:t>
      </w:r>
      <w:r w:rsidRPr="008A58D3">
        <w:rPr>
          <w:rFonts w:ascii="Arial" w:hAnsi="Arial" w:cs="Arial"/>
        </w:rPr>
        <w:t xml:space="preserve"> </w:t>
      </w:r>
    </w:p>
    <w:p w:rsidR="008A58D3" w:rsidRPr="008A58D3" w:rsidRDefault="008A58D3" w:rsidP="008A58D3">
      <w:pPr>
        <w:rPr>
          <w:rFonts w:ascii="Arial" w:hAnsi="Arial" w:cs="Arial"/>
          <w:i/>
          <w:lang w:val="en-GB"/>
        </w:rPr>
      </w:pPr>
      <w:r w:rsidRPr="008A58D3">
        <w:rPr>
          <w:rFonts w:ascii="Arial" w:hAnsi="Arial" w:cs="Arial"/>
          <w:i/>
          <w:u w:val="single"/>
          <w:lang w:val="en-GB"/>
        </w:rPr>
        <w:t>Objective</w:t>
      </w:r>
      <w:r w:rsidRPr="008A58D3">
        <w:rPr>
          <w:rFonts w:ascii="Arial" w:hAnsi="Arial" w:cs="Arial"/>
          <w:i/>
          <w:lang w:val="en-GB"/>
        </w:rPr>
        <w:t xml:space="preserve">: To </w:t>
      </w:r>
      <w:r>
        <w:rPr>
          <w:rFonts w:ascii="Arial" w:hAnsi="Arial" w:cs="Arial"/>
          <w:i/>
          <w:lang w:val="en-GB"/>
        </w:rPr>
        <w:t xml:space="preserve">establish requirements </w:t>
      </w:r>
      <w:r w:rsidR="004E4416">
        <w:rPr>
          <w:rFonts w:ascii="Arial" w:hAnsi="Arial" w:cs="Arial"/>
          <w:i/>
          <w:lang w:val="en-GB"/>
        </w:rPr>
        <w:t xml:space="preserve">for </w:t>
      </w:r>
      <w:r>
        <w:rPr>
          <w:rFonts w:ascii="Arial" w:hAnsi="Arial" w:cs="Arial"/>
          <w:i/>
          <w:lang w:val="en-GB"/>
        </w:rPr>
        <w:t xml:space="preserve">an analytics module to be developed for </w:t>
      </w:r>
      <w:r w:rsidR="00A456DB">
        <w:rPr>
          <w:rFonts w:ascii="Arial" w:hAnsi="Arial" w:cs="Arial"/>
          <w:i/>
          <w:lang w:val="en-GB"/>
        </w:rPr>
        <w:t xml:space="preserve">the global </w:t>
      </w:r>
      <w:proofErr w:type="spellStart"/>
      <w:r>
        <w:rPr>
          <w:rFonts w:ascii="Arial" w:hAnsi="Arial" w:cs="Arial"/>
          <w:i/>
          <w:lang w:val="en-GB"/>
        </w:rPr>
        <w:t>openIMIS</w:t>
      </w:r>
      <w:proofErr w:type="spellEnd"/>
      <w:r w:rsidR="00A456DB">
        <w:rPr>
          <w:rFonts w:ascii="Arial" w:hAnsi="Arial" w:cs="Arial"/>
          <w:i/>
          <w:lang w:val="en-GB"/>
        </w:rPr>
        <w:t xml:space="preserve"> solution</w:t>
      </w:r>
      <w:r>
        <w:rPr>
          <w:rFonts w:ascii="Arial" w:hAnsi="Arial" w:cs="Arial"/>
          <w:i/>
          <w:lang w:val="en-GB"/>
        </w:rPr>
        <w:t xml:space="preserve"> </w:t>
      </w:r>
    </w:p>
    <w:p w:rsidR="008A58D3" w:rsidRPr="008A58D3" w:rsidRDefault="008A58D3" w:rsidP="0064334A">
      <w:pPr>
        <w:rPr>
          <w:rFonts w:ascii="Arial" w:hAnsi="Arial" w:cs="Arial"/>
          <w:i/>
          <w:u w:val="single"/>
          <w:lang w:val="en-GB"/>
        </w:rPr>
      </w:pPr>
      <w:r w:rsidRPr="008A58D3">
        <w:rPr>
          <w:rFonts w:ascii="Arial" w:hAnsi="Arial" w:cs="Arial"/>
          <w:i/>
          <w:u w:val="single"/>
          <w:lang w:val="en-GB"/>
        </w:rPr>
        <w:t>Abstract</w:t>
      </w:r>
    </w:p>
    <w:p w:rsidR="0064334A" w:rsidRPr="00AF0FA8" w:rsidRDefault="0064334A" w:rsidP="0064334A">
      <w:p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 xml:space="preserve">As ever greater numbers of countries strive towards </w:t>
      </w:r>
      <w:r w:rsidRPr="00AF0FA8">
        <w:rPr>
          <w:rFonts w:ascii="Arial" w:hAnsi="Arial" w:cs="Arial"/>
          <w:i/>
        </w:rPr>
        <w:t>U</w:t>
      </w:r>
      <w:r w:rsidR="004E4416">
        <w:rPr>
          <w:rFonts w:ascii="Arial" w:hAnsi="Arial" w:cs="Arial"/>
          <w:i/>
        </w:rPr>
        <w:t xml:space="preserve">niversal </w:t>
      </w:r>
      <w:r w:rsidRPr="00AF0FA8">
        <w:rPr>
          <w:rFonts w:ascii="Arial" w:hAnsi="Arial" w:cs="Arial"/>
          <w:i/>
        </w:rPr>
        <w:t>H</w:t>
      </w:r>
      <w:r w:rsidR="004E4416">
        <w:rPr>
          <w:rFonts w:ascii="Arial" w:hAnsi="Arial" w:cs="Arial"/>
          <w:i/>
        </w:rPr>
        <w:t xml:space="preserve">ealth </w:t>
      </w:r>
      <w:r w:rsidRPr="00AF0FA8">
        <w:rPr>
          <w:rFonts w:ascii="Arial" w:hAnsi="Arial" w:cs="Arial"/>
          <w:i/>
        </w:rPr>
        <w:t>C</w:t>
      </w:r>
      <w:r w:rsidR="004E4416">
        <w:rPr>
          <w:rFonts w:ascii="Arial" w:hAnsi="Arial" w:cs="Arial"/>
          <w:i/>
        </w:rPr>
        <w:t>overage (UHC)</w:t>
      </w:r>
      <w:r w:rsidRPr="00AF0FA8" w:rsidDel="00A478B0">
        <w:rPr>
          <w:rFonts w:ascii="Arial" w:hAnsi="Arial" w:cs="Arial"/>
          <w:i/>
          <w:lang w:val="en-GB"/>
        </w:rPr>
        <w:t xml:space="preserve"> </w:t>
      </w:r>
      <w:r w:rsidRPr="00AF0FA8">
        <w:rPr>
          <w:rFonts w:ascii="Arial" w:hAnsi="Arial" w:cs="Arial"/>
          <w:i/>
          <w:lang w:val="en-GB"/>
        </w:rPr>
        <w:t>and Universal Social Protection</w:t>
      </w:r>
      <w:r w:rsidR="004E4416">
        <w:rPr>
          <w:rFonts w:ascii="Arial" w:hAnsi="Arial" w:cs="Arial"/>
          <w:i/>
          <w:lang w:val="en-GB"/>
        </w:rPr>
        <w:t xml:space="preserve"> (USP)</w:t>
      </w:r>
      <w:r w:rsidRPr="00AF0FA8">
        <w:rPr>
          <w:rFonts w:ascii="Arial" w:hAnsi="Arial" w:cs="Arial"/>
          <w:i/>
          <w:lang w:val="en-GB"/>
        </w:rPr>
        <w:t>, IT systems that operate in a range of complex environments for multiple stakeholders avoiding silos are a need of the hour. This is reflected in the emerging principles for donor alignment in digital health</w:t>
      </w:r>
      <w:r w:rsidRPr="00AF0FA8">
        <w:rPr>
          <w:rFonts w:ascii="Arial" w:hAnsi="Arial" w:cs="Arial"/>
          <w:i/>
          <w:vertAlign w:val="superscript"/>
          <w:lang w:val="en-GB"/>
        </w:rPr>
        <w:footnoteReference w:id="1"/>
      </w:r>
      <w:r w:rsidRPr="00AF0FA8">
        <w:rPr>
          <w:rFonts w:ascii="Arial" w:hAnsi="Arial" w:cs="Arial"/>
          <w:i/>
          <w:lang w:val="en-GB"/>
        </w:rPr>
        <w:t>, the UHC 2030 Agenda</w:t>
      </w:r>
      <w:r w:rsidRPr="00AF0FA8">
        <w:rPr>
          <w:rFonts w:ascii="Arial" w:hAnsi="Arial" w:cs="Arial"/>
          <w:i/>
          <w:vertAlign w:val="superscript"/>
          <w:lang w:val="en-GB"/>
        </w:rPr>
        <w:footnoteReference w:id="2"/>
      </w:r>
      <w:r w:rsidRPr="00AF0FA8">
        <w:rPr>
          <w:rFonts w:ascii="Arial" w:hAnsi="Arial" w:cs="Arial"/>
          <w:i/>
          <w:lang w:val="en-GB"/>
        </w:rPr>
        <w:t xml:space="preserve"> and in the principle of the Health Data Collaborative</w:t>
      </w:r>
      <w:r w:rsidRPr="00AF0FA8">
        <w:rPr>
          <w:rFonts w:ascii="Arial" w:hAnsi="Arial" w:cs="Arial"/>
          <w:i/>
          <w:vertAlign w:val="superscript"/>
          <w:lang w:val="en-GB"/>
        </w:rPr>
        <w:footnoteReference w:id="3"/>
      </w:r>
      <w:r w:rsidRPr="00AF0FA8">
        <w:rPr>
          <w:rFonts w:ascii="Arial" w:hAnsi="Arial" w:cs="Arial"/>
          <w:i/>
          <w:lang w:val="en-GB"/>
        </w:rPr>
        <w:t xml:space="preserve">, as well as other on-going developments to strengthen the </w:t>
      </w:r>
      <w:proofErr w:type="gramStart"/>
      <w:r w:rsidRPr="00AF0FA8">
        <w:rPr>
          <w:rFonts w:ascii="Arial" w:hAnsi="Arial" w:cs="Arial"/>
          <w:i/>
          <w:lang w:val="en-GB"/>
        </w:rPr>
        <w:t>governance</w:t>
      </w:r>
      <w:proofErr w:type="gramEnd"/>
      <w:r w:rsidRPr="00AF0FA8">
        <w:rPr>
          <w:rFonts w:ascii="Arial" w:hAnsi="Arial" w:cs="Arial"/>
          <w:i/>
          <w:lang w:val="en-GB"/>
        </w:rPr>
        <w:t xml:space="preserve"> of digitalisation. </w:t>
      </w:r>
    </w:p>
    <w:p w:rsidR="004824C6" w:rsidRDefault="004824C6" w:rsidP="004824C6">
      <w:pPr>
        <w:rPr>
          <w:rFonts w:ascii="Arial" w:hAnsi="Arial" w:cs="Arial"/>
          <w:i/>
          <w:lang w:val="en-GB"/>
        </w:rPr>
      </w:pPr>
      <w:proofErr w:type="spellStart"/>
      <w:proofErr w:type="gramStart"/>
      <w:r w:rsidRPr="004824C6">
        <w:rPr>
          <w:rFonts w:ascii="Arial" w:hAnsi="Arial" w:cs="Arial"/>
          <w:i/>
          <w:lang w:val="en-GB"/>
        </w:rPr>
        <w:t>openIMIS</w:t>
      </w:r>
      <w:proofErr w:type="spellEnd"/>
      <w:proofErr w:type="gramEnd"/>
      <w:r w:rsidRPr="004824C6">
        <w:rPr>
          <w:rFonts w:ascii="Arial" w:hAnsi="Arial" w:cs="Arial"/>
          <w:i/>
          <w:lang w:val="en-GB"/>
        </w:rPr>
        <w:t xml:space="preserve"> is the first open source software for managing </w:t>
      </w:r>
      <w:r w:rsidR="004A6DA5">
        <w:rPr>
          <w:rFonts w:ascii="Arial" w:hAnsi="Arial" w:cs="Arial"/>
          <w:i/>
          <w:lang w:val="en-GB"/>
        </w:rPr>
        <w:t>health financing</w:t>
      </w:r>
      <w:r w:rsidRPr="004824C6">
        <w:rPr>
          <w:rFonts w:ascii="Arial" w:hAnsi="Arial" w:cs="Arial"/>
          <w:i/>
          <w:lang w:val="en-GB"/>
        </w:rPr>
        <w:t xml:space="preserve"> interactions. It links beneficiary, provider and payer data. It is a powerful tool to strengthen strategic purchasing </w:t>
      </w:r>
      <w:r>
        <w:rPr>
          <w:rFonts w:ascii="Arial" w:hAnsi="Arial" w:cs="Arial"/>
          <w:i/>
          <w:lang w:val="en-GB"/>
        </w:rPr>
        <w:t xml:space="preserve">of health services </w:t>
      </w:r>
      <w:r w:rsidRPr="004824C6">
        <w:rPr>
          <w:rFonts w:ascii="Arial" w:hAnsi="Arial" w:cs="Arial"/>
          <w:i/>
          <w:lang w:val="en-GB"/>
        </w:rPr>
        <w:t>and digital processing of health system data.</w:t>
      </w:r>
      <w:r>
        <w:rPr>
          <w:rFonts w:ascii="Arial" w:hAnsi="Arial" w:cs="Arial"/>
          <w:i/>
          <w:lang w:val="en-GB"/>
        </w:rPr>
        <w:t xml:space="preserve"> </w:t>
      </w:r>
    </w:p>
    <w:p w:rsidR="004824C6" w:rsidRPr="004824C6" w:rsidRDefault="004824C6" w:rsidP="004824C6">
      <w:pPr>
        <w:rPr>
          <w:rFonts w:ascii="Arial" w:hAnsi="Arial" w:cs="Arial"/>
          <w:i/>
          <w:lang w:val="en-GB"/>
        </w:rPr>
      </w:pPr>
      <w:proofErr w:type="spellStart"/>
      <w:proofErr w:type="gramStart"/>
      <w:r w:rsidRPr="004824C6">
        <w:rPr>
          <w:rFonts w:ascii="Arial" w:hAnsi="Arial" w:cs="Arial"/>
          <w:i/>
          <w:lang w:val="en-GB"/>
        </w:rPr>
        <w:t>openIMIS</w:t>
      </w:r>
      <w:proofErr w:type="spellEnd"/>
      <w:proofErr w:type="gramEnd"/>
      <w:r w:rsidRPr="004824C6">
        <w:rPr>
          <w:rFonts w:ascii="Arial" w:hAnsi="Arial" w:cs="Arial"/>
          <w:i/>
          <w:lang w:val="en-GB"/>
        </w:rPr>
        <w:t xml:space="preserve"> has a modular and adoptable design. The modules cover the following business processes:</w:t>
      </w:r>
    </w:p>
    <w:p w:rsidR="004824C6" w:rsidRPr="004824C6" w:rsidRDefault="004824C6" w:rsidP="004824C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4824C6">
        <w:rPr>
          <w:rFonts w:ascii="Arial" w:hAnsi="Arial" w:cs="Arial"/>
          <w:i/>
          <w:lang w:val="en-GB"/>
        </w:rPr>
        <w:t>Enrolment and contribution collection</w:t>
      </w:r>
    </w:p>
    <w:p w:rsidR="004824C6" w:rsidRPr="004824C6" w:rsidRDefault="004824C6" w:rsidP="004824C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4824C6">
        <w:rPr>
          <w:rFonts w:ascii="Arial" w:hAnsi="Arial" w:cs="Arial"/>
          <w:i/>
          <w:lang w:val="en-GB"/>
        </w:rPr>
        <w:t>Beneficiary verification</w:t>
      </w:r>
    </w:p>
    <w:p w:rsidR="004824C6" w:rsidRPr="004824C6" w:rsidRDefault="004824C6" w:rsidP="004824C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4824C6">
        <w:rPr>
          <w:rFonts w:ascii="Arial" w:hAnsi="Arial" w:cs="Arial"/>
          <w:i/>
          <w:lang w:val="en-GB"/>
        </w:rPr>
        <w:t>Claims management</w:t>
      </w:r>
    </w:p>
    <w:p w:rsidR="004824C6" w:rsidRPr="004824C6" w:rsidRDefault="004824C6" w:rsidP="004824C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4824C6">
        <w:rPr>
          <w:rFonts w:ascii="Arial" w:hAnsi="Arial" w:cs="Arial"/>
          <w:i/>
          <w:lang w:val="en-GB"/>
        </w:rPr>
        <w:t>Client feedback</w:t>
      </w:r>
    </w:p>
    <w:p w:rsidR="004824C6" w:rsidRPr="004824C6" w:rsidRDefault="004824C6" w:rsidP="004824C6">
      <w:pPr>
        <w:rPr>
          <w:rFonts w:ascii="Arial" w:hAnsi="Arial" w:cs="Arial"/>
          <w:i/>
          <w:lang w:val="en-GB"/>
        </w:rPr>
      </w:pPr>
      <w:proofErr w:type="spellStart"/>
      <w:proofErr w:type="gramStart"/>
      <w:r w:rsidRPr="004824C6">
        <w:rPr>
          <w:rFonts w:ascii="Arial" w:hAnsi="Arial" w:cs="Arial"/>
          <w:i/>
          <w:lang w:val="en-GB"/>
        </w:rPr>
        <w:t>openIMIS</w:t>
      </w:r>
      <w:proofErr w:type="spellEnd"/>
      <w:proofErr w:type="gramEnd"/>
      <w:r w:rsidRPr="004824C6">
        <w:rPr>
          <w:rFonts w:ascii="Arial" w:hAnsi="Arial" w:cs="Arial"/>
          <w:i/>
          <w:lang w:val="en-GB"/>
        </w:rPr>
        <w:t xml:space="preserve"> has a front-end interface allowing for quick registration procedures even for remote, rural areas and can be used online and offline.</w:t>
      </w:r>
      <w:r>
        <w:rPr>
          <w:rFonts w:ascii="Arial" w:hAnsi="Arial" w:cs="Arial"/>
          <w:i/>
          <w:lang w:val="en-GB"/>
        </w:rPr>
        <w:t xml:space="preserve"> </w:t>
      </w:r>
      <w:r w:rsidRPr="004824C6">
        <w:rPr>
          <w:rFonts w:ascii="Arial" w:hAnsi="Arial" w:cs="Arial"/>
          <w:i/>
          <w:lang w:val="en-GB"/>
        </w:rPr>
        <w:t>The modules can be customized to specific countries` and organizational needs.</w:t>
      </w:r>
    </w:p>
    <w:p w:rsidR="0064334A" w:rsidRPr="00AF0FA8" w:rsidRDefault="0064334A" w:rsidP="0064334A">
      <w:p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 xml:space="preserve">The broader Initiative seeks to create and nourish the relevant communities to establish </w:t>
      </w:r>
      <w:proofErr w:type="spellStart"/>
      <w:r w:rsidRPr="00AF0FA8">
        <w:rPr>
          <w:rFonts w:ascii="Arial" w:hAnsi="Arial" w:cs="Arial"/>
          <w:i/>
          <w:lang w:val="en-GB"/>
        </w:rPr>
        <w:t>openIMIS</w:t>
      </w:r>
      <w:proofErr w:type="spellEnd"/>
      <w:r w:rsidRPr="00AF0FA8">
        <w:rPr>
          <w:rFonts w:ascii="Arial" w:hAnsi="Arial" w:cs="Arial"/>
          <w:i/>
          <w:lang w:val="en-GB"/>
        </w:rPr>
        <w:t xml:space="preserve"> as a Global Good for Digital Health</w:t>
      </w:r>
      <w:r w:rsidRPr="00AF0FA8">
        <w:rPr>
          <w:rFonts w:ascii="Arial" w:hAnsi="Arial" w:cs="Arial"/>
          <w:i/>
          <w:vertAlign w:val="superscript"/>
          <w:lang w:val="en-GB"/>
        </w:rPr>
        <w:footnoteReference w:id="4"/>
      </w:r>
      <w:r w:rsidRPr="00AF0FA8">
        <w:rPr>
          <w:rFonts w:ascii="Arial" w:hAnsi="Arial" w:cs="Arial"/>
          <w:i/>
          <w:lang w:val="en-GB"/>
        </w:rPr>
        <w:t xml:space="preserve"> that is: 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>adaptable to different contexts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>based on Free and Open Source Software (FOSS)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>governed by a clear structure with multiple funding sources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 xml:space="preserve">deployed at significant scale, across multiple countries 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>of demonstrated effectiveness</w:t>
      </w:r>
    </w:p>
    <w:p w:rsidR="0064334A" w:rsidRPr="00AF0FA8" w:rsidRDefault="0064334A" w:rsidP="0064334A">
      <w:pPr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AF0FA8">
        <w:rPr>
          <w:rFonts w:ascii="Arial" w:hAnsi="Arial" w:cs="Arial"/>
          <w:i/>
          <w:lang w:val="en-GB"/>
        </w:rPr>
        <w:t>interoperable in design and an emergent standard application</w:t>
      </w:r>
    </w:p>
    <w:p w:rsidR="0064334A" w:rsidRDefault="0064334A" w:rsidP="0064334A">
      <w:pPr>
        <w:rPr>
          <w:rFonts w:ascii="Arial" w:hAnsi="Arial" w:cs="Arial"/>
          <w:i/>
        </w:rPr>
      </w:pPr>
      <w:r w:rsidRPr="00E04E16">
        <w:rPr>
          <w:rFonts w:ascii="Arial" w:hAnsi="Arial" w:cs="Arial"/>
          <w:i/>
        </w:rPr>
        <w:t>Health</w:t>
      </w:r>
      <w:r w:rsidR="00E91C13">
        <w:rPr>
          <w:rFonts w:ascii="Arial" w:hAnsi="Arial" w:cs="Arial"/>
          <w:i/>
        </w:rPr>
        <w:t xml:space="preserve"> financing mechanisms (such as</w:t>
      </w:r>
      <w:r w:rsidRPr="00E04E16">
        <w:rPr>
          <w:rFonts w:ascii="Arial" w:hAnsi="Arial" w:cs="Arial"/>
          <w:i/>
        </w:rPr>
        <w:t xml:space="preserve"> insurance systems</w:t>
      </w:r>
      <w:r w:rsidR="00E91C13">
        <w:rPr>
          <w:rFonts w:ascii="Arial" w:hAnsi="Arial" w:cs="Arial"/>
          <w:i/>
        </w:rPr>
        <w:t>)</w:t>
      </w:r>
      <w:r w:rsidRPr="00E04E16">
        <w:rPr>
          <w:rFonts w:ascii="Arial" w:hAnsi="Arial" w:cs="Arial"/>
          <w:i/>
        </w:rPr>
        <w:t xml:space="preserve"> capture a wealth of data</w:t>
      </w:r>
      <w:r>
        <w:rPr>
          <w:rFonts w:ascii="Arial" w:hAnsi="Arial" w:cs="Arial"/>
          <w:i/>
        </w:rPr>
        <w:t xml:space="preserve"> on individuals, their families, their treatment, their health care costs, diagnosis patterns, prescribing behavior, cost of service provision, etc. In this workshop we </w:t>
      </w:r>
      <w:r w:rsidR="00E91C13">
        <w:rPr>
          <w:rFonts w:ascii="Arial" w:hAnsi="Arial" w:cs="Arial"/>
          <w:i/>
        </w:rPr>
        <w:t>will</w:t>
      </w:r>
      <w:r>
        <w:rPr>
          <w:rFonts w:ascii="Arial" w:hAnsi="Arial" w:cs="Arial"/>
          <w:i/>
        </w:rPr>
        <w:t xml:space="preserve"> explore the ways in which </w:t>
      </w:r>
      <w:r w:rsidR="00E91C13">
        <w:rPr>
          <w:rFonts w:ascii="Arial" w:hAnsi="Arial" w:cs="Arial"/>
          <w:i/>
        </w:rPr>
        <w:t xml:space="preserve">such </w:t>
      </w:r>
      <w:r>
        <w:rPr>
          <w:rFonts w:ascii="Arial" w:hAnsi="Arial" w:cs="Arial"/>
          <w:i/>
        </w:rPr>
        <w:t xml:space="preserve">health </w:t>
      </w:r>
      <w:r w:rsidR="00E91C13">
        <w:rPr>
          <w:rFonts w:ascii="Arial" w:hAnsi="Arial" w:cs="Arial"/>
          <w:i/>
        </w:rPr>
        <w:t xml:space="preserve">system </w:t>
      </w:r>
      <w:r>
        <w:rPr>
          <w:rFonts w:ascii="Arial" w:hAnsi="Arial" w:cs="Arial"/>
          <w:i/>
        </w:rPr>
        <w:t>data has been/can be used to provide insights for public health</w:t>
      </w:r>
      <w:r w:rsidR="00FD0D32">
        <w:rPr>
          <w:rFonts w:ascii="Arial" w:hAnsi="Arial" w:cs="Arial"/>
          <w:i/>
        </w:rPr>
        <w:t xml:space="preserve"> system</w:t>
      </w:r>
      <w:r>
        <w:rPr>
          <w:rFonts w:ascii="Arial" w:hAnsi="Arial" w:cs="Arial"/>
          <w:i/>
        </w:rPr>
        <w:t xml:space="preserve"> improvements in various </w:t>
      </w:r>
      <w:r w:rsidR="00FD0D32">
        <w:rPr>
          <w:rFonts w:ascii="Arial" w:hAnsi="Arial" w:cs="Arial"/>
          <w:i/>
        </w:rPr>
        <w:t>settings</w:t>
      </w:r>
      <w:r>
        <w:rPr>
          <w:rFonts w:ascii="Arial" w:hAnsi="Arial" w:cs="Arial"/>
          <w:i/>
        </w:rPr>
        <w:t xml:space="preserve">. The focus would be both on </w:t>
      </w:r>
      <w:r w:rsidR="00E91C13">
        <w:rPr>
          <w:rFonts w:ascii="Arial" w:hAnsi="Arial" w:cs="Arial"/>
          <w:i/>
        </w:rPr>
        <w:t>high</w:t>
      </w:r>
      <w:r>
        <w:rPr>
          <w:rFonts w:ascii="Arial" w:hAnsi="Arial" w:cs="Arial"/>
          <w:i/>
        </w:rPr>
        <w:t xml:space="preserve"> as well as </w:t>
      </w:r>
      <w:r w:rsidR="00E91C13">
        <w:rPr>
          <w:rFonts w:ascii="Arial" w:hAnsi="Arial" w:cs="Arial"/>
          <w:i/>
        </w:rPr>
        <w:t xml:space="preserve">middle and </w:t>
      </w:r>
      <w:r w:rsidR="00FD0D32">
        <w:rPr>
          <w:rFonts w:ascii="Arial" w:hAnsi="Arial" w:cs="Arial"/>
          <w:i/>
        </w:rPr>
        <w:t>low-income</w:t>
      </w:r>
      <w:r w:rsidR="00E91C1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countries. </w:t>
      </w:r>
    </w:p>
    <w:p w:rsidR="0064334A" w:rsidRDefault="0064334A" w:rsidP="006433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core data elements captured in an </w:t>
      </w:r>
      <w:r w:rsidR="00E91C13">
        <w:rPr>
          <w:rFonts w:ascii="Arial" w:hAnsi="Arial" w:cs="Arial"/>
          <w:i/>
        </w:rPr>
        <w:t xml:space="preserve">exemplary health </w:t>
      </w:r>
      <w:r>
        <w:rPr>
          <w:rFonts w:ascii="Arial" w:hAnsi="Arial" w:cs="Arial"/>
          <w:i/>
        </w:rPr>
        <w:t xml:space="preserve">insurance system </w:t>
      </w:r>
      <w:r w:rsidR="00E91C13">
        <w:rPr>
          <w:rFonts w:ascii="Arial" w:hAnsi="Arial" w:cs="Arial"/>
          <w:i/>
        </w:rPr>
        <w:t xml:space="preserve">will </w:t>
      </w:r>
      <w:r>
        <w:rPr>
          <w:rFonts w:ascii="Arial" w:hAnsi="Arial" w:cs="Arial"/>
          <w:i/>
        </w:rPr>
        <w:t xml:space="preserve">be introduced to the participants along with some examples of the use of such data to trigger a facilitated brainstorming session around different possible use cases. Subsequent to the workshop these would be generalized into analytics requirements from health </w:t>
      </w:r>
      <w:r w:rsidR="00E91C13">
        <w:rPr>
          <w:rFonts w:ascii="Arial" w:hAnsi="Arial" w:cs="Arial"/>
          <w:i/>
        </w:rPr>
        <w:t xml:space="preserve">financing </w:t>
      </w:r>
      <w:r>
        <w:rPr>
          <w:rFonts w:ascii="Arial" w:hAnsi="Arial" w:cs="Arial"/>
          <w:i/>
        </w:rPr>
        <w:t xml:space="preserve">systems. The workshop would aim at gathering inputs for the </w:t>
      </w:r>
      <w:proofErr w:type="spellStart"/>
      <w:r>
        <w:rPr>
          <w:rFonts w:ascii="Arial" w:hAnsi="Arial" w:cs="Arial"/>
          <w:i/>
        </w:rPr>
        <w:t>openIMIS</w:t>
      </w:r>
      <w:proofErr w:type="spellEnd"/>
      <w:r>
        <w:rPr>
          <w:rFonts w:ascii="Arial" w:hAnsi="Arial" w:cs="Arial"/>
          <w:i/>
        </w:rPr>
        <w:t xml:space="preserve"> Initiative to contribute towards the development of an appropriate analytics module. The draft prepared with inputs from the workshop would be placed on a publically available platform under a free to use Creative Commons License where further inputs and contributions can be made. The technological solution leading from these requirements will also be placed on the </w:t>
      </w:r>
      <w:proofErr w:type="spellStart"/>
      <w:r>
        <w:rPr>
          <w:rFonts w:ascii="Arial" w:hAnsi="Arial" w:cs="Arial"/>
          <w:i/>
        </w:rPr>
        <w:t>openIMIS</w:t>
      </w:r>
      <w:proofErr w:type="spellEnd"/>
      <w:r>
        <w:rPr>
          <w:rFonts w:ascii="Arial" w:hAnsi="Arial" w:cs="Arial"/>
          <w:i/>
        </w:rPr>
        <w:t xml:space="preserve"> repository under an Open Source license.</w:t>
      </w:r>
    </w:p>
    <w:p w:rsidR="00A7776A" w:rsidRDefault="0064334A" w:rsidP="0027097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workshop will expect to also raise discussions around the quality and quantity of data captured as well as challenges around sharing such data for public health research.</w:t>
      </w:r>
      <w:r w:rsidR="00A7776A">
        <w:rPr>
          <w:rFonts w:ascii="Arial" w:hAnsi="Arial" w:cs="Arial"/>
          <w:i/>
        </w:rPr>
        <w:t xml:space="preserve"> In addition the </w:t>
      </w:r>
      <w:r w:rsidR="007D71D0">
        <w:rPr>
          <w:rFonts w:ascii="Arial" w:hAnsi="Arial" w:cs="Arial"/>
          <w:i/>
        </w:rPr>
        <w:t xml:space="preserve">opportunities and challenges </w:t>
      </w:r>
      <w:r w:rsidR="007D71D0" w:rsidRPr="007D71D0">
        <w:rPr>
          <w:rFonts w:ascii="Arial" w:hAnsi="Arial" w:cs="Arial"/>
          <w:i/>
        </w:rPr>
        <w:t>around health data standards as pre-condition for interoperability in a country´s health information system</w:t>
      </w:r>
      <w:r w:rsidR="00A7776A">
        <w:rPr>
          <w:rFonts w:ascii="Arial" w:hAnsi="Arial" w:cs="Arial"/>
          <w:i/>
        </w:rPr>
        <w:t xml:space="preserve"> will be explored</w:t>
      </w:r>
      <w:r w:rsidR="007D71D0" w:rsidRPr="007D71D0">
        <w:rPr>
          <w:rFonts w:ascii="Arial" w:hAnsi="Arial" w:cs="Arial"/>
          <w:i/>
        </w:rPr>
        <w:t>.</w:t>
      </w:r>
      <w:r w:rsidR="00A7776A">
        <w:rPr>
          <w:rFonts w:ascii="Arial" w:hAnsi="Arial" w:cs="Arial"/>
          <w:i/>
        </w:rPr>
        <w:t xml:space="preserve"> </w:t>
      </w:r>
    </w:p>
    <w:p w:rsidR="0064334A" w:rsidRPr="003272C1" w:rsidRDefault="007D71D0" w:rsidP="0027097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We intend to promote participation from attendees by marketing through communication channels of the </w:t>
      </w:r>
      <w:proofErr w:type="spellStart"/>
      <w:r>
        <w:rPr>
          <w:rFonts w:ascii="Arial" w:hAnsi="Arial" w:cs="Arial"/>
          <w:i/>
        </w:rPr>
        <w:t>openIMIS</w:t>
      </w:r>
      <w:proofErr w:type="spellEnd"/>
      <w:r>
        <w:rPr>
          <w:rFonts w:ascii="Arial" w:hAnsi="Arial" w:cs="Arial"/>
          <w:i/>
        </w:rPr>
        <w:t xml:space="preserve"> Initiative like website, newsletter and mailing contact lists.</w:t>
      </w:r>
    </w:p>
    <w:p w:rsidR="007D71D0" w:rsidRPr="00A7776A" w:rsidRDefault="007D71D0" w:rsidP="004A6DA5">
      <w:pPr>
        <w:numPr>
          <w:ilvl w:val="0"/>
          <w:numId w:val="1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u w:val="single"/>
        </w:rPr>
        <w:t xml:space="preserve">Session Overview (50 words) for Congress website and program – </w:t>
      </w:r>
      <w:r w:rsidR="00A7776A" w:rsidRPr="00E04E16">
        <w:rPr>
          <w:rFonts w:ascii="Arial" w:hAnsi="Arial" w:cs="Arial"/>
          <w:i/>
        </w:rPr>
        <w:t xml:space="preserve">Health </w:t>
      </w:r>
      <w:r w:rsidR="00E91C13">
        <w:rPr>
          <w:rFonts w:ascii="Arial" w:hAnsi="Arial" w:cs="Arial"/>
          <w:i/>
        </w:rPr>
        <w:t>financing</w:t>
      </w:r>
      <w:r w:rsidR="00A7776A" w:rsidRPr="00E04E16">
        <w:rPr>
          <w:rFonts w:ascii="Arial" w:hAnsi="Arial" w:cs="Arial"/>
          <w:i/>
        </w:rPr>
        <w:t xml:space="preserve"> systems capture a wealth of data</w:t>
      </w:r>
      <w:r w:rsidR="00E91C13">
        <w:rPr>
          <w:rFonts w:ascii="Arial" w:hAnsi="Arial" w:cs="Arial"/>
          <w:i/>
        </w:rPr>
        <w:t>.</w:t>
      </w:r>
      <w:r w:rsidR="00A7776A">
        <w:rPr>
          <w:rFonts w:ascii="Arial" w:hAnsi="Arial" w:cs="Arial"/>
          <w:i/>
        </w:rPr>
        <w:t xml:space="preserve"> </w:t>
      </w:r>
      <w:r w:rsidR="00E91C13">
        <w:rPr>
          <w:rFonts w:ascii="Arial" w:hAnsi="Arial" w:cs="Arial"/>
          <w:i/>
        </w:rPr>
        <w:t>T</w:t>
      </w:r>
      <w:r w:rsidR="00A7776A">
        <w:rPr>
          <w:rFonts w:ascii="Arial" w:hAnsi="Arial" w:cs="Arial"/>
          <w:i/>
        </w:rPr>
        <w:t xml:space="preserve">his workshop </w:t>
      </w:r>
      <w:r w:rsidR="004A6DA5">
        <w:rPr>
          <w:rFonts w:ascii="Arial" w:hAnsi="Arial" w:cs="Arial"/>
          <w:i/>
        </w:rPr>
        <w:t xml:space="preserve">will </w:t>
      </w:r>
      <w:r w:rsidR="00A7776A">
        <w:rPr>
          <w:rFonts w:ascii="Arial" w:hAnsi="Arial" w:cs="Arial"/>
          <w:i/>
        </w:rPr>
        <w:t xml:space="preserve">explore ways </w:t>
      </w:r>
      <w:r w:rsidR="004A6DA5">
        <w:rPr>
          <w:rFonts w:ascii="Arial" w:hAnsi="Arial" w:cs="Arial"/>
          <w:i/>
        </w:rPr>
        <w:t xml:space="preserve">to use these data </w:t>
      </w:r>
      <w:r w:rsidR="00A7776A">
        <w:rPr>
          <w:rFonts w:ascii="Arial" w:hAnsi="Arial" w:cs="Arial"/>
          <w:i/>
        </w:rPr>
        <w:t xml:space="preserve">for public health </w:t>
      </w:r>
      <w:r w:rsidR="004A6DA5">
        <w:rPr>
          <w:rFonts w:ascii="Arial" w:hAnsi="Arial" w:cs="Arial"/>
          <w:i/>
        </w:rPr>
        <w:t xml:space="preserve">system </w:t>
      </w:r>
      <w:r w:rsidR="00A7776A">
        <w:rPr>
          <w:rFonts w:ascii="Arial" w:hAnsi="Arial" w:cs="Arial"/>
          <w:i/>
        </w:rPr>
        <w:t>improvements</w:t>
      </w:r>
      <w:r w:rsidR="004A6DA5">
        <w:rPr>
          <w:rFonts w:ascii="Arial" w:hAnsi="Arial" w:cs="Arial"/>
          <w:i/>
        </w:rPr>
        <w:t>.</w:t>
      </w:r>
      <w:r w:rsidR="00A7776A">
        <w:rPr>
          <w:rFonts w:ascii="Arial" w:hAnsi="Arial" w:cs="Arial"/>
          <w:i/>
        </w:rPr>
        <w:t xml:space="preserve"> The </w:t>
      </w:r>
      <w:r w:rsidR="004A6DA5">
        <w:rPr>
          <w:rFonts w:ascii="Arial" w:hAnsi="Arial" w:cs="Arial"/>
          <w:i/>
        </w:rPr>
        <w:t>results will</w:t>
      </w:r>
      <w:r w:rsidR="00A7776A">
        <w:rPr>
          <w:rFonts w:ascii="Arial" w:hAnsi="Arial" w:cs="Arial"/>
          <w:i/>
        </w:rPr>
        <w:t xml:space="preserve"> contribute towards </w:t>
      </w:r>
      <w:r w:rsidR="004A6DA5">
        <w:rPr>
          <w:rFonts w:ascii="Arial" w:hAnsi="Arial" w:cs="Arial"/>
          <w:i/>
        </w:rPr>
        <w:t xml:space="preserve">the development of an </w:t>
      </w:r>
      <w:r w:rsidR="00A7776A">
        <w:rPr>
          <w:rFonts w:ascii="Arial" w:hAnsi="Arial" w:cs="Arial"/>
          <w:i/>
        </w:rPr>
        <w:t xml:space="preserve">analytics module for the </w:t>
      </w:r>
      <w:proofErr w:type="spellStart"/>
      <w:r w:rsidR="00A7776A">
        <w:rPr>
          <w:rFonts w:ascii="Arial" w:hAnsi="Arial" w:cs="Arial"/>
          <w:i/>
        </w:rPr>
        <w:t>openIMIS</w:t>
      </w:r>
      <w:proofErr w:type="spellEnd"/>
      <w:r w:rsidR="00A7776A">
        <w:rPr>
          <w:rFonts w:ascii="Arial" w:hAnsi="Arial" w:cs="Arial"/>
          <w:i/>
        </w:rPr>
        <w:t xml:space="preserve"> </w:t>
      </w:r>
      <w:r w:rsidR="004A6DA5">
        <w:rPr>
          <w:rFonts w:ascii="Arial" w:hAnsi="Arial" w:cs="Arial"/>
          <w:i/>
        </w:rPr>
        <w:t>software</w:t>
      </w:r>
      <w:r w:rsidR="00A7776A">
        <w:rPr>
          <w:rFonts w:ascii="Arial" w:hAnsi="Arial" w:cs="Arial"/>
          <w:i/>
        </w:rPr>
        <w:t>.</w:t>
      </w:r>
      <w:r w:rsidR="004A6DA5">
        <w:rPr>
          <w:rFonts w:ascii="Arial" w:hAnsi="Arial" w:cs="Arial"/>
          <w:i/>
        </w:rPr>
        <w:t xml:space="preserve"> </w:t>
      </w:r>
      <w:proofErr w:type="spellStart"/>
      <w:proofErr w:type="gramStart"/>
      <w:r w:rsidR="004A6DA5" w:rsidRPr="004824C6">
        <w:rPr>
          <w:rFonts w:ascii="Arial" w:hAnsi="Arial" w:cs="Arial"/>
          <w:i/>
          <w:lang w:val="en-GB"/>
        </w:rPr>
        <w:t>openIMIS</w:t>
      </w:r>
      <w:proofErr w:type="spellEnd"/>
      <w:proofErr w:type="gramEnd"/>
      <w:r w:rsidR="004A6DA5" w:rsidRPr="004824C6">
        <w:rPr>
          <w:rFonts w:ascii="Arial" w:hAnsi="Arial" w:cs="Arial"/>
          <w:i/>
          <w:lang w:val="en-GB"/>
        </w:rPr>
        <w:t xml:space="preserve"> is</w:t>
      </w:r>
      <w:r w:rsidR="00F852FC">
        <w:rPr>
          <w:rFonts w:ascii="Arial" w:hAnsi="Arial" w:cs="Arial"/>
          <w:i/>
          <w:lang w:val="en-GB"/>
        </w:rPr>
        <w:t xml:space="preserve"> an</w:t>
      </w:r>
      <w:r w:rsidR="00A81738">
        <w:rPr>
          <w:rFonts w:ascii="Arial" w:hAnsi="Arial" w:cs="Arial"/>
          <w:i/>
          <w:lang w:val="en-GB"/>
        </w:rPr>
        <w:t xml:space="preserve"> </w:t>
      </w:r>
      <w:proofErr w:type="spellStart"/>
      <w:r w:rsidR="00A81738">
        <w:rPr>
          <w:rFonts w:ascii="Arial" w:hAnsi="Arial" w:cs="Arial"/>
          <w:i/>
          <w:lang w:val="en-GB"/>
        </w:rPr>
        <w:t>open</w:t>
      </w:r>
      <w:r w:rsidR="00F852FC">
        <w:rPr>
          <w:rFonts w:ascii="Arial" w:hAnsi="Arial" w:cs="Arial"/>
          <w:i/>
          <w:lang w:val="en-GB"/>
        </w:rPr>
        <w:t>source</w:t>
      </w:r>
      <w:proofErr w:type="spellEnd"/>
      <w:r w:rsidR="00F852FC">
        <w:rPr>
          <w:rFonts w:ascii="Arial" w:hAnsi="Arial" w:cs="Arial"/>
          <w:i/>
          <w:lang w:val="en-GB"/>
        </w:rPr>
        <w:t xml:space="preserve"> software </w:t>
      </w:r>
      <w:r w:rsidR="00A81738">
        <w:rPr>
          <w:rFonts w:ascii="Arial" w:hAnsi="Arial" w:cs="Arial"/>
          <w:i/>
          <w:lang w:val="en-GB"/>
        </w:rPr>
        <w:t xml:space="preserve">that </w:t>
      </w:r>
      <w:r w:rsidR="00F852FC">
        <w:rPr>
          <w:rFonts w:ascii="Arial" w:hAnsi="Arial" w:cs="Arial"/>
          <w:i/>
          <w:lang w:val="en-GB"/>
        </w:rPr>
        <w:t>help</w:t>
      </w:r>
      <w:r w:rsidR="00A81738">
        <w:rPr>
          <w:rFonts w:ascii="Arial" w:hAnsi="Arial" w:cs="Arial"/>
          <w:i/>
          <w:lang w:val="en-GB"/>
        </w:rPr>
        <w:t>s</w:t>
      </w:r>
      <w:r w:rsidR="00F852FC">
        <w:rPr>
          <w:rFonts w:ascii="Arial" w:hAnsi="Arial" w:cs="Arial"/>
          <w:i/>
          <w:lang w:val="en-GB"/>
        </w:rPr>
        <w:t xml:space="preserve"> manag</w:t>
      </w:r>
      <w:r w:rsidR="00A81738">
        <w:rPr>
          <w:rFonts w:ascii="Arial" w:hAnsi="Arial" w:cs="Arial"/>
          <w:i/>
          <w:lang w:val="en-GB"/>
        </w:rPr>
        <w:t xml:space="preserve">e </w:t>
      </w:r>
      <w:r w:rsidR="004A6DA5" w:rsidRPr="004824C6">
        <w:rPr>
          <w:rFonts w:ascii="Arial" w:hAnsi="Arial" w:cs="Arial"/>
          <w:i/>
          <w:lang w:val="en-GB"/>
        </w:rPr>
        <w:t>beneficiary, provider and payer data.</w:t>
      </w:r>
    </w:p>
    <w:p w:rsidR="006E48F3" w:rsidRPr="00A81738" w:rsidRDefault="006E48F3" w:rsidP="007D71D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A81738">
        <w:rPr>
          <w:rFonts w:ascii="Arial" w:hAnsi="Arial" w:cs="Arial"/>
          <w:lang w:val="en-GB"/>
        </w:rPr>
        <w:t>Please indicate</w:t>
      </w:r>
      <w:r>
        <w:rPr>
          <w:rFonts w:ascii="Arial" w:hAnsi="Arial" w:cs="Arial"/>
          <w:lang w:val="en-GB"/>
        </w:rPr>
        <w:t xml:space="preserve"> if you wish to charge those who want to attend your session a cost-recovery fee or if you will seek to secure/have secured sponsorship for your session: </w:t>
      </w:r>
      <w:r>
        <w:rPr>
          <w:rFonts w:ascii="Arial" w:hAnsi="Arial" w:cs="Arial"/>
          <w:i/>
          <w:lang w:val="en-GB"/>
        </w:rPr>
        <w:t>Fully Sponsored</w:t>
      </w:r>
    </w:p>
    <w:p w:rsidR="007D71D0" w:rsidRPr="007D71D0" w:rsidRDefault="007D71D0" w:rsidP="007D71D0">
      <w:pPr>
        <w:numPr>
          <w:ilvl w:val="0"/>
          <w:numId w:val="1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u w:val="single"/>
        </w:rPr>
        <w:t xml:space="preserve">Billing </w:t>
      </w:r>
      <w:r w:rsidRPr="00A81738">
        <w:rPr>
          <w:rFonts w:ascii="Arial" w:hAnsi="Arial" w:cs="Arial"/>
          <w:color w:val="000000" w:themeColor="text1"/>
          <w:u w:val="single"/>
        </w:rPr>
        <w:t xml:space="preserve">details </w:t>
      </w:r>
      <w:r w:rsidRPr="00A8173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(name, organization and contact details for invoice)</w:t>
      </w:r>
      <w:r w:rsidRPr="00A81738">
        <w:rPr>
          <w:rFonts w:ascii="Arial" w:hAnsi="Arial" w:cs="Arial"/>
          <w:color w:val="000000" w:themeColor="text1"/>
          <w:u w:val="single"/>
        </w:rPr>
        <w:t xml:space="preserve"> - </w:t>
      </w:r>
      <w:r w:rsidRPr="00A81738">
        <w:rPr>
          <w:rFonts w:ascii="Arial" w:hAnsi="Arial" w:cs="Arial"/>
          <w:color w:val="000000" w:themeColor="text1"/>
        </w:rPr>
        <w:t xml:space="preserve"> </w:t>
      </w:r>
      <w:r w:rsidR="00A7776A" w:rsidRPr="00A81738">
        <w:rPr>
          <w:rFonts w:ascii="Arial" w:hAnsi="Arial" w:cs="Arial"/>
          <w:color w:val="000000" w:themeColor="text1"/>
        </w:rPr>
        <w:t xml:space="preserve">Alicia </w:t>
      </w:r>
      <w:r w:rsidR="00A81738">
        <w:rPr>
          <w:rFonts w:ascii="Arial" w:hAnsi="Arial" w:cs="Arial"/>
        </w:rPr>
        <w:t>GIZ</w:t>
      </w:r>
    </w:p>
    <w:p w:rsidR="005E2CB4" w:rsidRDefault="00015EF0" w:rsidP="005E2CB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58D3" w:rsidRDefault="008A58D3">
      <w:pPr>
        <w:rPr>
          <w:rFonts w:ascii="Arial" w:hAnsi="Arial" w:cs="Arial"/>
        </w:rPr>
      </w:pPr>
      <w:r>
        <w:rPr>
          <w:rFonts w:ascii="Arial" w:hAnsi="Arial" w:cs="Arial"/>
        </w:rPr>
        <w:t>Tentative Agenda:</w:t>
      </w:r>
    </w:p>
    <w:p w:rsidR="008A58D3" w:rsidRDefault="008A58D3" w:rsidP="008A5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Short introduction to </w:t>
      </w:r>
      <w:proofErr w:type="spellStart"/>
      <w:r>
        <w:rPr>
          <w:rFonts w:ascii="Arial" w:hAnsi="Arial" w:cs="Arial"/>
        </w:rPr>
        <w:t>openIMIS</w:t>
      </w:r>
      <w:proofErr w:type="spellEnd"/>
      <w:r>
        <w:rPr>
          <w:rFonts w:ascii="Arial" w:hAnsi="Arial" w:cs="Arial"/>
        </w:rPr>
        <w:t xml:space="preserve"> Initiative (short presentation)</w:t>
      </w:r>
    </w:p>
    <w:p w:rsidR="008A58D3" w:rsidRDefault="008A58D3" w:rsidP="008A5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Setting the stage/scene (short presentation)</w:t>
      </w:r>
    </w:p>
    <w:p w:rsidR="008A58D3" w:rsidRDefault="008A58D3" w:rsidP="008A5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of health insurance data (short presentations on existing works</w:t>
      </w:r>
      <w:r w:rsidR="00EE17F7">
        <w:rPr>
          <w:rFonts w:ascii="Arial" w:hAnsi="Arial" w:cs="Arial"/>
        </w:rPr>
        <w:t xml:space="preserve"> by academics</w:t>
      </w:r>
      <w:r>
        <w:rPr>
          <w:rFonts w:ascii="Arial" w:hAnsi="Arial" w:cs="Arial"/>
        </w:rPr>
        <w:t>):</w:t>
      </w:r>
    </w:p>
    <w:p w:rsidR="008A58D3" w:rsidRDefault="008A58D3" w:rsidP="008A58D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Case from Switzerland</w:t>
      </w:r>
      <w:r w:rsidR="007D71D0">
        <w:rPr>
          <w:rFonts w:ascii="Arial" w:hAnsi="Arial" w:cs="Arial"/>
        </w:rPr>
        <w:t xml:space="preserve"> </w:t>
      </w:r>
      <w:r w:rsidR="00F95934">
        <w:rPr>
          <w:rFonts w:ascii="Arial" w:hAnsi="Arial" w:cs="Arial"/>
        </w:rPr>
        <w:t>–</w:t>
      </w:r>
      <w:r w:rsidR="007D71D0">
        <w:rPr>
          <w:rFonts w:ascii="Arial" w:hAnsi="Arial" w:cs="Arial"/>
        </w:rPr>
        <w:t xml:space="preserve"> </w:t>
      </w:r>
      <w:r w:rsidR="00F95934">
        <w:rPr>
          <w:rFonts w:ascii="Arial" w:hAnsi="Arial" w:cs="Arial"/>
        </w:rPr>
        <w:t>checking through Insurance medicine course SSPH+</w:t>
      </w:r>
    </w:p>
    <w:p w:rsidR="008A58D3" w:rsidRDefault="008A58D3" w:rsidP="008A58D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Case from Germany</w:t>
      </w:r>
      <w:r w:rsidR="007D71D0">
        <w:rPr>
          <w:rFonts w:ascii="Arial" w:hAnsi="Arial" w:cs="Arial"/>
        </w:rPr>
        <w:t xml:space="preserve"> - </w:t>
      </w:r>
      <w:r w:rsidR="00EB7773" w:rsidRPr="00EB7773">
        <w:rPr>
          <w:rFonts w:ascii="Arial" w:hAnsi="Arial" w:cs="Arial"/>
        </w:rPr>
        <w:t>Mr. Pascal Kaiser, GKV-</w:t>
      </w:r>
      <w:proofErr w:type="spellStart"/>
      <w:proofErr w:type="gramStart"/>
      <w:r w:rsidR="00EB7773" w:rsidRPr="00EB7773">
        <w:rPr>
          <w:rFonts w:ascii="Arial" w:hAnsi="Arial" w:cs="Arial"/>
        </w:rPr>
        <w:t>Spitzenverband</w:t>
      </w:r>
      <w:proofErr w:type="spellEnd"/>
      <w:r w:rsidR="00C7169C">
        <w:rPr>
          <w:rFonts w:ascii="Arial" w:hAnsi="Arial" w:cs="Arial"/>
        </w:rPr>
        <w:t xml:space="preserve">  or</w:t>
      </w:r>
      <w:proofErr w:type="gramEnd"/>
      <w:r w:rsidR="00C7169C">
        <w:rPr>
          <w:rFonts w:ascii="Arial" w:hAnsi="Arial" w:cs="Arial"/>
        </w:rPr>
        <w:t xml:space="preserve"> so? Perhaps from academia</w:t>
      </w:r>
    </w:p>
    <w:p w:rsidR="008A58D3" w:rsidRDefault="008A58D3" w:rsidP="008A58D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Case from LMIC</w:t>
      </w:r>
      <w:r w:rsidR="007D71D0">
        <w:rPr>
          <w:rFonts w:ascii="Arial" w:hAnsi="Arial" w:cs="Arial"/>
        </w:rPr>
        <w:t xml:space="preserve"> – </w:t>
      </w:r>
      <w:proofErr w:type="spellStart"/>
      <w:r w:rsidR="007D71D0">
        <w:rPr>
          <w:rFonts w:ascii="Arial" w:hAnsi="Arial" w:cs="Arial"/>
        </w:rPr>
        <w:t>Fabrizio</w:t>
      </w:r>
      <w:proofErr w:type="spellEnd"/>
      <w:r w:rsidR="007D71D0">
        <w:rPr>
          <w:rFonts w:ascii="Arial" w:hAnsi="Arial" w:cs="Arial"/>
        </w:rPr>
        <w:t xml:space="preserve"> </w:t>
      </w:r>
      <w:proofErr w:type="spellStart"/>
      <w:r w:rsidR="007D71D0">
        <w:rPr>
          <w:rFonts w:ascii="Arial" w:hAnsi="Arial" w:cs="Arial"/>
        </w:rPr>
        <w:t>Tediosi</w:t>
      </w:r>
      <w:proofErr w:type="spellEnd"/>
      <w:r w:rsidR="007D71D0">
        <w:rPr>
          <w:rFonts w:ascii="Arial" w:hAnsi="Arial" w:cs="Arial"/>
        </w:rPr>
        <w:t xml:space="preserve"> (R4D project Ghana – using insurance data)</w:t>
      </w:r>
    </w:p>
    <w:p w:rsidR="00EE17F7" w:rsidRDefault="00EE17F7" w:rsidP="008A5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Presentation of basic data model within insurance systems and introducing lead questions for group work</w:t>
      </w:r>
    </w:p>
    <w:p w:rsidR="008A58D3" w:rsidRDefault="008A58D3" w:rsidP="008A5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 work </w:t>
      </w:r>
      <w:r w:rsidR="00EE17F7">
        <w:rPr>
          <w:rFonts w:ascii="Arial" w:hAnsi="Arial" w:cs="Arial"/>
        </w:rPr>
        <w:t>(facilitated discussions with sub groups)</w:t>
      </w:r>
    </w:p>
    <w:p w:rsidR="004A6DA5" w:rsidRPr="004A6DA5" w:rsidRDefault="00EE17F7" w:rsidP="004A6DA5">
      <w:pPr>
        <w:rPr>
          <w:rFonts w:ascii="Arial" w:hAnsi="Arial" w:cs="Arial"/>
        </w:rPr>
      </w:pPr>
      <w:r>
        <w:rPr>
          <w:rFonts w:ascii="Arial" w:hAnsi="Arial" w:cs="Arial"/>
        </w:rPr>
        <w:t>Presentation back from the groups</w:t>
      </w:r>
    </w:p>
    <w:sectPr w:rsidR="004A6DA5" w:rsidRPr="004A6DA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92416" w15:done="0"/>
  <w15:commentEx w15:paraId="014B7FE2" w15:done="0"/>
  <w15:commentEx w15:paraId="18CBD1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E3" w:rsidRDefault="008F59E3" w:rsidP="00AF0FA8">
      <w:pPr>
        <w:spacing w:after="0" w:line="240" w:lineRule="auto"/>
      </w:pPr>
      <w:r>
        <w:separator/>
      </w:r>
    </w:p>
  </w:endnote>
  <w:endnote w:type="continuationSeparator" w:id="0">
    <w:p w:rsidR="008F59E3" w:rsidRDefault="008F59E3" w:rsidP="00AF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E3" w:rsidRDefault="008F59E3" w:rsidP="00AF0FA8">
      <w:pPr>
        <w:spacing w:after="0" w:line="240" w:lineRule="auto"/>
      </w:pPr>
      <w:r>
        <w:separator/>
      </w:r>
    </w:p>
  </w:footnote>
  <w:footnote w:type="continuationSeparator" w:id="0">
    <w:p w:rsidR="008F59E3" w:rsidRDefault="008F59E3" w:rsidP="00AF0FA8">
      <w:pPr>
        <w:spacing w:after="0" w:line="240" w:lineRule="auto"/>
      </w:pPr>
      <w:r>
        <w:continuationSeparator/>
      </w:r>
    </w:p>
  </w:footnote>
  <w:footnote w:id="1">
    <w:p w:rsidR="0064334A" w:rsidRPr="00047014" w:rsidRDefault="0064334A" w:rsidP="0064334A">
      <w:pPr>
        <w:pStyle w:val="FootnoteText"/>
        <w:spacing w:line="160" w:lineRule="atLeas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47014">
          <w:rPr>
            <w:rStyle w:val="Hyperlink"/>
          </w:rPr>
          <w:t>http://digitalinvestmentprinciples.org/</w:t>
        </w:r>
      </w:hyperlink>
      <w:r>
        <w:t xml:space="preserve"> </w:t>
      </w:r>
    </w:p>
  </w:footnote>
  <w:footnote w:id="2">
    <w:p w:rsidR="0064334A" w:rsidRPr="002B5FD5" w:rsidRDefault="0064334A" w:rsidP="0064334A">
      <w:pPr>
        <w:pStyle w:val="FootnoteText"/>
        <w:spacing w:line="160" w:lineRule="atLeast"/>
      </w:pPr>
      <w:r>
        <w:rPr>
          <w:rStyle w:val="FootnoteReference"/>
        </w:rPr>
        <w:footnoteRef/>
      </w:r>
      <w:r>
        <w:t xml:space="preserve"> </w:t>
      </w:r>
      <w:r w:rsidRPr="002B5FD5">
        <w:t>https://www.uhc2030.org/</w:t>
      </w:r>
    </w:p>
  </w:footnote>
  <w:footnote w:id="3">
    <w:p w:rsidR="0064334A" w:rsidRPr="002B5FD5" w:rsidRDefault="0064334A" w:rsidP="0064334A">
      <w:pPr>
        <w:pStyle w:val="FootnoteText"/>
        <w:spacing w:line="160" w:lineRule="atLeast"/>
      </w:pPr>
      <w:r>
        <w:rPr>
          <w:rStyle w:val="FootnoteReference"/>
        </w:rPr>
        <w:footnoteRef/>
      </w:r>
      <w:r>
        <w:t xml:space="preserve"> </w:t>
      </w:r>
      <w:r w:rsidRPr="002B5FD5">
        <w:t>https://www.healthdatacollaborative.org/how-we-work/</w:t>
      </w:r>
    </w:p>
  </w:footnote>
  <w:footnote w:id="4">
    <w:p w:rsidR="0064334A" w:rsidRPr="005021CB" w:rsidRDefault="0064334A" w:rsidP="0064334A">
      <w:pPr>
        <w:pStyle w:val="FootnoteText"/>
        <w:spacing w:line="160" w:lineRule="atLeast"/>
      </w:pPr>
      <w:r>
        <w:rPr>
          <w:rStyle w:val="FootnoteReference"/>
        </w:rPr>
        <w:footnoteRef/>
      </w:r>
      <w:r w:rsidRPr="005021CB">
        <w:t xml:space="preserve"> https://wiki.digitalsquare.io/index.php/What_are_Global_Goods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BE"/>
    <w:multiLevelType w:val="hybridMultilevel"/>
    <w:tmpl w:val="536E1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6FF"/>
    <w:multiLevelType w:val="hybridMultilevel"/>
    <w:tmpl w:val="48FAED4A"/>
    <w:lvl w:ilvl="0" w:tplc="88B2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475"/>
    <w:multiLevelType w:val="multilevel"/>
    <w:tmpl w:val="CD4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50698"/>
    <w:multiLevelType w:val="hybridMultilevel"/>
    <w:tmpl w:val="3ACE5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ovskaja, Viktoria GIZ">
    <w15:presenceInfo w15:providerId="AD" w15:userId="S-1-5-21-3211005450-2565063988-1429816208-23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4"/>
    <w:rsid w:val="00015EF0"/>
    <w:rsid w:val="000B1369"/>
    <w:rsid w:val="000E38B2"/>
    <w:rsid w:val="00113AA7"/>
    <w:rsid w:val="0016392F"/>
    <w:rsid w:val="00187DFB"/>
    <w:rsid w:val="001B3013"/>
    <w:rsid w:val="001C001E"/>
    <w:rsid w:val="002602D6"/>
    <w:rsid w:val="00270971"/>
    <w:rsid w:val="002B0650"/>
    <w:rsid w:val="002B219F"/>
    <w:rsid w:val="002F5911"/>
    <w:rsid w:val="003272C1"/>
    <w:rsid w:val="00327B7F"/>
    <w:rsid w:val="003756E1"/>
    <w:rsid w:val="003817B0"/>
    <w:rsid w:val="00444551"/>
    <w:rsid w:val="004824C6"/>
    <w:rsid w:val="004A1A11"/>
    <w:rsid w:val="004A6DA5"/>
    <w:rsid w:val="004E4416"/>
    <w:rsid w:val="004E7270"/>
    <w:rsid w:val="0052087C"/>
    <w:rsid w:val="00574349"/>
    <w:rsid w:val="005928FA"/>
    <w:rsid w:val="005A7429"/>
    <w:rsid w:val="005E2CB4"/>
    <w:rsid w:val="005F311E"/>
    <w:rsid w:val="005F44FA"/>
    <w:rsid w:val="006415CA"/>
    <w:rsid w:val="0064334A"/>
    <w:rsid w:val="00665973"/>
    <w:rsid w:val="006A267A"/>
    <w:rsid w:val="006E48F3"/>
    <w:rsid w:val="00751D0C"/>
    <w:rsid w:val="007576B4"/>
    <w:rsid w:val="00796F5E"/>
    <w:rsid w:val="007B0E88"/>
    <w:rsid w:val="007B7748"/>
    <w:rsid w:val="007D71D0"/>
    <w:rsid w:val="008073F6"/>
    <w:rsid w:val="00891470"/>
    <w:rsid w:val="008A58D3"/>
    <w:rsid w:val="008B4D4D"/>
    <w:rsid w:val="008F59E3"/>
    <w:rsid w:val="008F69F9"/>
    <w:rsid w:val="00967770"/>
    <w:rsid w:val="0098332A"/>
    <w:rsid w:val="00A01D9B"/>
    <w:rsid w:val="00A156CE"/>
    <w:rsid w:val="00A2513B"/>
    <w:rsid w:val="00A301EF"/>
    <w:rsid w:val="00A4358F"/>
    <w:rsid w:val="00A456DB"/>
    <w:rsid w:val="00A51869"/>
    <w:rsid w:val="00A5393B"/>
    <w:rsid w:val="00A7776A"/>
    <w:rsid w:val="00A81738"/>
    <w:rsid w:val="00A83B54"/>
    <w:rsid w:val="00AA67F6"/>
    <w:rsid w:val="00AA7A3E"/>
    <w:rsid w:val="00AC7AB2"/>
    <w:rsid w:val="00AF0FA8"/>
    <w:rsid w:val="00B11AD5"/>
    <w:rsid w:val="00B6397C"/>
    <w:rsid w:val="00B968BE"/>
    <w:rsid w:val="00C34227"/>
    <w:rsid w:val="00C57CFA"/>
    <w:rsid w:val="00C7169C"/>
    <w:rsid w:val="00D231A4"/>
    <w:rsid w:val="00E04E16"/>
    <w:rsid w:val="00E91C13"/>
    <w:rsid w:val="00EA3048"/>
    <w:rsid w:val="00EA367F"/>
    <w:rsid w:val="00EB7773"/>
    <w:rsid w:val="00EE17F7"/>
    <w:rsid w:val="00EF401D"/>
    <w:rsid w:val="00F00EFA"/>
    <w:rsid w:val="00F852FC"/>
    <w:rsid w:val="00F92BB1"/>
    <w:rsid w:val="00F95934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5B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0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F0FA8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rsid w:val="00AF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24C6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0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F0FA8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rsid w:val="00AF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24C6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investmentprincip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Spengler</dc:creator>
  <cp:lastModifiedBy>Siddharth Srivastava</cp:lastModifiedBy>
  <cp:revision>5</cp:revision>
  <dcterms:created xsi:type="dcterms:W3CDTF">2018-12-07T16:23:00Z</dcterms:created>
  <dcterms:modified xsi:type="dcterms:W3CDTF">2018-12-07T16:31:00Z</dcterms:modified>
</cp:coreProperties>
</file>