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5F" w:rsidRPr="002B5D5B" w:rsidRDefault="00F17CBA" w:rsidP="00A43C4E">
      <w:pPr>
        <w:spacing w:before="180" w:after="180"/>
        <w:jc w:val="center"/>
        <w:rPr>
          <w:b/>
          <w:color w:val="404040" w:themeColor="text1" w:themeTint="BF"/>
          <w:sz w:val="32"/>
          <w:szCs w:val="32"/>
          <w:lang w:val="fr-FR"/>
        </w:rPr>
      </w:pPr>
      <w:bookmarkStart w:id="0" w:name="_GoBack"/>
      <w:bookmarkEnd w:id="0"/>
      <w:r w:rsidRPr="002B5D5B">
        <w:rPr>
          <w:b/>
          <w:color w:val="404040" w:themeColor="text1" w:themeTint="BF"/>
          <w:sz w:val="32"/>
          <w:szCs w:val="32"/>
          <w:lang w:val="fr-FR"/>
        </w:rPr>
        <w:t xml:space="preserve">Atelier de lancement </w:t>
      </w:r>
      <w:r w:rsidR="00D01C0A">
        <w:rPr>
          <w:b/>
          <w:color w:val="404040" w:themeColor="text1" w:themeTint="BF"/>
          <w:sz w:val="32"/>
          <w:szCs w:val="32"/>
          <w:lang w:val="fr-FR"/>
        </w:rPr>
        <w:t xml:space="preserve"> </w:t>
      </w:r>
      <w:proofErr w:type="spellStart"/>
      <w:r w:rsidR="00D01C0A">
        <w:rPr>
          <w:b/>
          <w:color w:val="404040" w:themeColor="text1" w:themeTint="BF"/>
          <w:sz w:val="32"/>
          <w:szCs w:val="32"/>
          <w:lang w:val="fr-FR"/>
        </w:rPr>
        <w:t>O</w:t>
      </w:r>
      <w:r w:rsidR="00B16FFE" w:rsidRPr="002B5D5B">
        <w:rPr>
          <w:b/>
          <w:color w:val="404040" w:themeColor="text1" w:themeTint="BF"/>
          <w:sz w:val="32"/>
          <w:szCs w:val="32"/>
          <w:lang w:val="fr-FR"/>
        </w:rPr>
        <w:t>penHIMIS</w:t>
      </w:r>
      <w:proofErr w:type="spellEnd"/>
    </w:p>
    <w:tbl>
      <w:tblPr>
        <w:tblW w:w="723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30"/>
      </w:tblGrid>
      <w:tr w:rsidR="001F0748" w:rsidRPr="0001277F" w:rsidTr="001F0748">
        <w:trPr>
          <w:jc w:val="center"/>
        </w:trPr>
        <w:tc>
          <w:tcPr>
            <w:tcW w:w="7230" w:type="dxa"/>
            <w:tcBorders>
              <w:top w:val="single" w:sz="6" w:space="0" w:color="auto"/>
            </w:tcBorders>
          </w:tcPr>
          <w:p w:rsidR="00F17CBA" w:rsidRPr="002B5D5B" w:rsidRDefault="00F17CBA" w:rsidP="001F0748">
            <w:pPr>
              <w:spacing w:before="180" w:after="180"/>
              <w:jc w:val="center"/>
              <w:rPr>
                <w:b/>
                <w:szCs w:val="22"/>
                <w:lang w:val="fr-FR"/>
              </w:rPr>
            </w:pPr>
            <w:r w:rsidRPr="002B5D5B">
              <w:rPr>
                <w:b/>
                <w:szCs w:val="22"/>
                <w:lang w:val="fr-FR"/>
              </w:rPr>
              <w:t xml:space="preserve">Phase initiale d’une initiative conjointe pour le développement d’un système </w:t>
            </w:r>
            <w:r w:rsidR="00FC04EC">
              <w:rPr>
                <w:b/>
                <w:szCs w:val="22"/>
                <w:lang w:val="fr-FR"/>
              </w:rPr>
              <w:t>d’information</w:t>
            </w:r>
            <w:r w:rsidRPr="002B5D5B">
              <w:rPr>
                <w:b/>
                <w:szCs w:val="22"/>
                <w:lang w:val="fr-FR"/>
              </w:rPr>
              <w:t xml:space="preserve"> de gestion d’assurances maladie « open source » (</w:t>
            </w:r>
            <w:proofErr w:type="spellStart"/>
            <w:r w:rsidRPr="002B5D5B">
              <w:rPr>
                <w:b/>
                <w:szCs w:val="22"/>
                <w:lang w:val="fr-FR"/>
              </w:rPr>
              <w:t>Health</w:t>
            </w:r>
            <w:proofErr w:type="spellEnd"/>
            <w:r w:rsidRPr="002B5D5B">
              <w:rPr>
                <w:b/>
                <w:szCs w:val="22"/>
                <w:lang w:val="fr-FR"/>
              </w:rPr>
              <w:t xml:space="preserve"> </w:t>
            </w:r>
            <w:proofErr w:type="spellStart"/>
            <w:r w:rsidRPr="002B5D5B">
              <w:rPr>
                <w:b/>
                <w:szCs w:val="22"/>
                <w:lang w:val="fr-FR"/>
              </w:rPr>
              <w:t>Insurance</w:t>
            </w:r>
            <w:proofErr w:type="spellEnd"/>
            <w:r w:rsidRPr="002B5D5B">
              <w:rPr>
                <w:b/>
                <w:szCs w:val="22"/>
                <w:lang w:val="fr-FR"/>
              </w:rPr>
              <w:t xml:space="preserve"> Management Information System, </w:t>
            </w:r>
            <w:proofErr w:type="spellStart"/>
            <w:r w:rsidRPr="002B5D5B">
              <w:rPr>
                <w:b/>
                <w:szCs w:val="22"/>
                <w:lang w:val="fr-FR"/>
              </w:rPr>
              <w:t>openHIMIS</w:t>
            </w:r>
            <w:proofErr w:type="spellEnd"/>
            <w:r w:rsidRPr="002B5D5B">
              <w:rPr>
                <w:b/>
                <w:szCs w:val="22"/>
                <w:lang w:val="fr-FR"/>
              </w:rPr>
              <w:t>)</w:t>
            </w:r>
          </w:p>
          <w:p w:rsidR="001F0748" w:rsidRPr="002B5D5B" w:rsidRDefault="001F0748" w:rsidP="00F17CBA">
            <w:pPr>
              <w:spacing w:before="180" w:after="180"/>
              <w:jc w:val="center"/>
              <w:rPr>
                <w:b/>
                <w:szCs w:val="22"/>
                <w:lang w:val="fr-FR"/>
              </w:rPr>
            </w:pPr>
            <w:r w:rsidRPr="002B5D5B">
              <w:rPr>
                <w:b/>
                <w:szCs w:val="22"/>
                <w:lang w:val="fr-FR"/>
              </w:rPr>
              <w:t>F</w:t>
            </w:r>
            <w:r w:rsidR="00F17CBA" w:rsidRPr="002B5D5B">
              <w:rPr>
                <w:b/>
                <w:szCs w:val="22"/>
                <w:lang w:val="fr-FR"/>
              </w:rPr>
              <w:t>rancfort-sur-le-Main</w:t>
            </w:r>
            <w:r w:rsidRPr="002B5D5B">
              <w:rPr>
                <w:b/>
                <w:szCs w:val="22"/>
                <w:lang w:val="fr-FR"/>
              </w:rPr>
              <w:t xml:space="preserve">, </w:t>
            </w:r>
            <w:r w:rsidR="00F17CBA" w:rsidRPr="002B5D5B">
              <w:rPr>
                <w:b/>
                <w:szCs w:val="22"/>
                <w:lang w:val="fr-FR"/>
              </w:rPr>
              <w:t>Allemagne</w:t>
            </w:r>
            <w:r w:rsidRPr="002B5D5B">
              <w:rPr>
                <w:b/>
                <w:szCs w:val="22"/>
                <w:lang w:val="fr-FR"/>
              </w:rPr>
              <w:t xml:space="preserve">, </w:t>
            </w:r>
            <w:r w:rsidR="00F17CBA" w:rsidRPr="002B5D5B">
              <w:rPr>
                <w:b/>
                <w:szCs w:val="22"/>
                <w:lang w:val="fr-FR"/>
              </w:rPr>
              <w:t xml:space="preserve">du </w:t>
            </w:r>
            <w:r w:rsidRPr="002B5D5B">
              <w:rPr>
                <w:b/>
                <w:szCs w:val="22"/>
                <w:lang w:val="fr-FR"/>
              </w:rPr>
              <w:t>4</w:t>
            </w:r>
            <w:r w:rsidR="00F17CBA" w:rsidRPr="002B5D5B">
              <w:rPr>
                <w:b/>
                <w:szCs w:val="22"/>
                <w:vertAlign w:val="superscript"/>
                <w:lang w:val="fr-FR"/>
              </w:rPr>
              <w:t xml:space="preserve"> </w:t>
            </w:r>
            <w:r w:rsidR="00F17CBA" w:rsidRPr="002B5D5B">
              <w:rPr>
                <w:b/>
                <w:szCs w:val="22"/>
                <w:lang w:val="fr-FR"/>
              </w:rPr>
              <w:t>au</w:t>
            </w:r>
            <w:r w:rsidRPr="002B5D5B">
              <w:rPr>
                <w:b/>
                <w:szCs w:val="22"/>
                <w:lang w:val="fr-FR"/>
              </w:rPr>
              <w:t xml:space="preserve"> 6</w:t>
            </w:r>
            <w:r w:rsidR="00F17CBA" w:rsidRPr="002B5D5B">
              <w:rPr>
                <w:b/>
                <w:szCs w:val="22"/>
                <w:lang w:val="fr-FR"/>
              </w:rPr>
              <w:t xml:space="preserve"> juillet</w:t>
            </w:r>
            <w:r w:rsidRPr="002B5D5B">
              <w:rPr>
                <w:b/>
                <w:szCs w:val="22"/>
                <w:lang w:val="fr-FR"/>
              </w:rPr>
              <w:t xml:space="preserve"> 2016</w:t>
            </w:r>
          </w:p>
        </w:tc>
      </w:tr>
    </w:tbl>
    <w:p w:rsidR="0034045F" w:rsidRPr="002B5D5B" w:rsidRDefault="0034045F">
      <w:pPr>
        <w:rPr>
          <w:lang w:val="fr-FR"/>
        </w:rPr>
        <w:sectPr w:rsidR="0034045F" w:rsidRPr="002B5D5B" w:rsidSect="00143319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851" w:bottom="1134" w:left="1134" w:header="425" w:footer="510" w:gutter="0"/>
          <w:cols w:sep="1" w:space="720"/>
          <w:titlePg/>
          <w:docGrid w:linePitch="299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20"/>
      </w:tblGrid>
      <w:tr w:rsidR="00E00E17" w:rsidRPr="0001277F" w:rsidTr="00533815">
        <w:trPr>
          <w:trHeight w:val="21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E00E17" w:rsidRPr="002B5D5B" w:rsidRDefault="00E00E17" w:rsidP="00E00E17">
            <w:pPr>
              <w:rPr>
                <w:rFonts w:cstheme="minorBidi"/>
                <w:color w:val="0000FF" w:themeColor="hyperlink"/>
                <w:sz w:val="20"/>
                <w:u w:val="single"/>
                <w:lang w:val="fr-FR" w:eastAsia="en-US"/>
              </w:rPr>
            </w:pPr>
          </w:p>
        </w:tc>
      </w:tr>
      <w:tr w:rsidR="0031027A" w:rsidRPr="0001277F" w:rsidTr="00533815">
        <w:trPr>
          <w:trHeight w:val="726"/>
        </w:trPr>
        <w:tc>
          <w:tcPr>
            <w:tcW w:w="9720" w:type="dxa"/>
          </w:tcPr>
          <w:p w:rsidR="0031027A" w:rsidRPr="002B5D5B" w:rsidRDefault="004B5CDD" w:rsidP="00B621D3">
            <w:pPr>
              <w:spacing w:before="120"/>
              <w:rPr>
                <w:rStyle w:val="Seitenzahl"/>
                <w:lang w:val="fr-FR"/>
              </w:rPr>
            </w:pPr>
            <w:r w:rsidRPr="002B5D5B">
              <w:rPr>
                <w:rStyle w:val="Seitenzahl"/>
                <w:lang w:val="fr-FR"/>
              </w:rPr>
              <w:t>Cette synthèse de l’atelier de lancement, qui a eu lieu du 4 au 6 juillet 2016, est le produit des discussions pendant l’atelier et n’est pas juridiquement contraignante.</w:t>
            </w:r>
          </w:p>
        </w:tc>
      </w:tr>
      <w:tr w:rsidR="00E00E17" w:rsidRPr="0001277F" w:rsidTr="00533815">
        <w:trPr>
          <w:trHeight w:val="726"/>
        </w:trPr>
        <w:tc>
          <w:tcPr>
            <w:tcW w:w="9720" w:type="dxa"/>
          </w:tcPr>
          <w:p w:rsidR="00E00E17" w:rsidRPr="002B5D5B" w:rsidRDefault="004B5CDD" w:rsidP="00B621D3">
            <w:pPr>
              <w:spacing w:before="120"/>
              <w:rPr>
                <w:rStyle w:val="Seitenzahl"/>
                <w:b/>
                <w:szCs w:val="22"/>
                <w:u w:val="single"/>
                <w:lang w:val="fr-FR"/>
              </w:rPr>
            </w:pPr>
            <w:r w:rsidRPr="002B5D5B">
              <w:rPr>
                <w:rStyle w:val="Seitenzahl"/>
                <w:b/>
                <w:szCs w:val="22"/>
                <w:u w:val="single"/>
                <w:lang w:val="fr-FR"/>
              </w:rPr>
              <w:t xml:space="preserve">Jour 1, 4 juillet </w:t>
            </w:r>
            <w:r w:rsidR="00E00E17" w:rsidRPr="002B5D5B">
              <w:rPr>
                <w:rStyle w:val="Seitenzahl"/>
                <w:b/>
                <w:szCs w:val="22"/>
                <w:u w:val="single"/>
                <w:lang w:val="fr-FR"/>
              </w:rPr>
              <w:t>2016</w:t>
            </w:r>
          </w:p>
          <w:p w:rsidR="00B621D3" w:rsidRPr="002B5D5B" w:rsidRDefault="00B621D3" w:rsidP="00E00E17">
            <w:pPr>
              <w:rPr>
                <w:rStyle w:val="Seitenzahl"/>
                <w:b/>
                <w:szCs w:val="22"/>
                <w:u w:val="single"/>
                <w:lang w:val="fr-FR"/>
              </w:rPr>
            </w:pPr>
          </w:p>
          <w:p w:rsidR="004B5CDD" w:rsidRPr="002B5D5B" w:rsidRDefault="004B5CDD" w:rsidP="0031027A">
            <w:pPr>
              <w:rPr>
                <w:rStyle w:val="Seitenzahl"/>
                <w:lang w:val="fr-FR"/>
              </w:rPr>
            </w:pPr>
            <w:r w:rsidRPr="002B5D5B">
              <w:rPr>
                <w:rStyle w:val="Seitenzahl"/>
                <w:lang w:val="fr-FR"/>
              </w:rPr>
              <w:t xml:space="preserve">Les discussions et les présentations du premier jour </w:t>
            </w:r>
            <w:r w:rsidR="007B1B49" w:rsidRPr="002B5D5B">
              <w:rPr>
                <w:rStyle w:val="Seitenzahl"/>
                <w:lang w:val="fr-FR"/>
              </w:rPr>
              <w:t>servaient</w:t>
            </w:r>
            <w:r w:rsidRPr="002B5D5B">
              <w:rPr>
                <w:rStyle w:val="Seitenzahl"/>
                <w:lang w:val="fr-FR"/>
              </w:rPr>
              <w:t xml:space="preserve"> l’objectif général de contextualiser l’initiative pour</w:t>
            </w:r>
            <w:r w:rsidR="009627B2">
              <w:rPr>
                <w:rStyle w:val="Seitenzahl"/>
                <w:lang w:val="fr-FR"/>
              </w:rPr>
              <w:t xml:space="preserve"> la création</w:t>
            </w:r>
            <w:r w:rsidRPr="002B5D5B">
              <w:rPr>
                <w:rStyle w:val="Seitenzahl"/>
                <w:lang w:val="fr-FR"/>
              </w:rPr>
              <w:t xml:space="preserve"> </w:t>
            </w:r>
            <w:r w:rsidR="009627B2">
              <w:rPr>
                <w:rStyle w:val="Seitenzahl"/>
                <w:lang w:val="fr-FR"/>
              </w:rPr>
              <w:t>d’</w:t>
            </w:r>
            <w:r w:rsidRPr="002B5D5B">
              <w:rPr>
                <w:rStyle w:val="Seitenzahl"/>
                <w:lang w:val="fr-FR"/>
              </w:rPr>
              <w:t xml:space="preserve">un système </w:t>
            </w:r>
            <w:r w:rsidR="00FC04EC">
              <w:rPr>
                <w:rStyle w:val="Seitenzahl"/>
                <w:lang w:val="fr-FR"/>
              </w:rPr>
              <w:t>d’information</w:t>
            </w:r>
            <w:r w:rsidRPr="002B5D5B">
              <w:rPr>
                <w:rStyle w:val="Seitenzahl"/>
                <w:lang w:val="fr-FR"/>
              </w:rPr>
              <w:t xml:space="preserve"> de gestion « open source » pour les assurances maladie. </w:t>
            </w:r>
            <w:r w:rsidR="007B1B49" w:rsidRPr="002B5D5B">
              <w:rPr>
                <w:rStyle w:val="Seitenzahl"/>
                <w:lang w:val="fr-FR"/>
              </w:rPr>
              <w:t>L’accent était mis sur l’utilité et l’actualité du projet au vue du paradigme de l’assurance maladie universelle.</w:t>
            </w:r>
          </w:p>
          <w:p w:rsidR="00300ED5" w:rsidRPr="002B5D5B" w:rsidRDefault="00300ED5" w:rsidP="0031027A">
            <w:pPr>
              <w:rPr>
                <w:rStyle w:val="Seitenzahl"/>
                <w:lang w:val="fr-FR"/>
              </w:rPr>
            </w:pPr>
          </w:p>
          <w:p w:rsidR="007B1B49" w:rsidRPr="002B5D5B" w:rsidRDefault="007B1B49" w:rsidP="0031027A">
            <w:pPr>
              <w:rPr>
                <w:rStyle w:val="Seitenzahl"/>
                <w:lang w:val="fr-FR"/>
              </w:rPr>
            </w:pPr>
            <w:r w:rsidRPr="002B5D5B">
              <w:rPr>
                <w:rStyle w:val="Seitenzahl"/>
                <w:lang w:val="fr-FR"/>
              </w:rPr>
              <w:t xml:space="preserve">Les objectifs de l’atelier étaient débattus et les attentes des participants prises en compte. Après des présentations introductives sur le sujet en large, le statu quo des systèmes </w:t>
            </w:r>
            <w:r w:rsidR="00FC04EC">
              <w:rPr>
                <w:rStyle w:val="Seitenzahl"/>
                <w:lang w:val="fr-FR"/>
              </w:rPr>
              <w:t>d’information</w:t>
            </w:r>
            <w:r w:rsidRPr="002B5D5B">
              <w:rPr>
                <w:rStyle w:val="Seitenzahl"/>
                <w:lang w:val="fr-FR"/>
              </w:rPr>
              <w:t xml:space="preserve"> de gestion d’assurances</w:t>
            </w:r>
            <w:r w:rsidR="001038B9" w:rsidRPr="002B5D5B">
              <w:rPr>
                <w:rStyle w:val="Seitenzahl"/>
                <w:lang w:val="fr-FR"/>
              </w:rPr>
              <w:t xml:space="preserve"> (IMIS)</w:t>
            </w:r>
            <w:r w:rsidRPr="002B5D5B">
              <w:rPr>
                <w:rStyle w:val="Seitenzahl"/>
                <w:lang w:val="fr-FR"/>
              </w:rPr>
              <w:t xml:space="preserve">, en particulier celui implémenté au Népal, et des expériences avec d’autres systèmes </w:t>
            </w:r>
            <w:r w:rsidR="00FC04EC">
              <w:rPr>
                <w:rStyle w:val="Seitenzahl"/>
                <w:lang w:val="fr-FR"/>
              </w:rPr>
              <w:t>d’information</w:t>
            </w:r>
            <w:r w:rsidR="009627B2">
              <w:rPr>
                <w:rStyle w:val="Seitenzahl"/>
                <w:lang w:val="fr-FR"/>
              </w:rPr>
              <w:t xml:space="preserve"> de g</w:t>
            </w:r>
            <w:r w:rsidRPr="002B5D5B">
              <w:rPr>
                <w:rStyle w:val="Seitenzahl"/>
                <w:lang w:val="fr-FR"/>
              </w:rPr>
              <w:t>estion en Inde, au Kenya, aux Philippines et au Togo étaient examinés.</w:t>
            </w:r>
          </w:p>
          <w:p w:rsidR="007B1B49" w:rsidRPr="002B5D5B" w:rsidRDefault="007B1B49" w:rsidP="0031027A">
            <w:pPr>
              <w:rPr>
                <w:rStyle w:val="Seitenzahl"/>
                <w:lang w:val="fr-FR"/>
              </w:rPr>
            </w:pPr>
          </w:p>
          <w:p w:rsidR="0031027A" w:rsidRPr="002B5D5B" w:rsidRDefault="007B1B49" w:rsidP="0031027A">
            <w:pPr>
              <w:rPr>
                <w:rStyle w:val="Seitenzahl"/>
                <w:u w:val="single"/>
                <w:lang w:val="fr-FR"/>
              </w:rPr>
            </w:pPr>
            <w:proofErr w:type="spellStart"/>
            <w:r w:rsidRPr="002B5D5B">
              <w:rPr>
                <w:rStyle w:val="Seitenzahl"/>
                <w:u w:val="single"/>
                <w:lang w:val="fr-FR"/>
              </w:rPr>
              <w:t>OpenHIMIS</w:t>
            </w:r>
            <w:proofErr w:type="spellEnd"/>
            <w:r w:rsidRPr="002B5D5B">
              <w:rPr>
                <w:rStyle w:val="Seitenzahl"/>
                <w:u w:val="single"/>
                <w:lang w:val="fr-FR"/>
              </w:rPr>
              <w:t xml:space="preserve"> et le rôle prévu pour la GIZ</w:t>
            </w:r>
          </w:p>
          <w:p w:rsidR="007B1B49" w:rsidRPr="002B5D5B" w:rsidRDefault="007B1B49" w:rsidP="007B1B49">
            <w:pPr>
              <w:pStyle w:val="Listenabsatz"/>
              <w:numPr>
                <w:ilvl w:val="0"/>
                <w:numId w:val="21"/>
              </w:numPr>
              <w:rPr>
                <w:rStyle w:val="Seitenzahl"/>
                <w:lang w:val="fr-FR"/>
              </w:rPr>
            </w:pPr>
            <w:r w:rsidRPr="002B5D5B">
              <w:rPr>
                <w:rStyle w:val="Seitenzahl"/>
                <w:lang w:val="fr-FR"/>
              </w:rPr>
              <w:t xml:space="preserve">La GIZ met l’accent sur trois </w:t>
            </w:r>
            <w:r w:rsidR="00EE6EB2" w:rsidRPr="002B5D5B">
              <w:rPr>
                <w:rStyle w:val="Seitenzahl"/>
                <w:lang w:val="fr-FR"/>
              </w:rPr>
              <w:t>sujets principaux, à savoir la motivation et la direction stratégique, la coordination et la</w:t>
            </w:r>
            <w:r w:rsidR="009627B2">
              <w:rPr>
                <w:rStyle w:val="Seitenzahl"/>
                <w:lang w:val="fr-FR"/>
              </w:rPr>
              <w:t xml:space="preserve"> gestion des acteurs importants ainsi que</w:t>
            </w:r>
            <w:r w:rsidR="00EE6EB2" w:rsidRPr="002B5D5B">
              <w:rPr>
                <w:rStyle w:val="Seitenzahl"/>
                <w:lang w:val="fr-FR"/>
              </w:rPr>
              <w:t xml:space="preserve"> le développement des capacités.</w:t>
            </w:r>
          </w:p>
          <w:p w:rsidR="0031027A" w:rsidRPr="002B5D5B" w:rsidRDefault="0031027A" w:rsidP="0031027A">
            <w:pPr>
              <w:pStyle w:val="Listenabsatz"/>
              <w:rPr>
                <w:rStyle w:val="Seitenzahl"/>
                <w:lang w:val="fr-FR"/>
              </w:rPr>
            </w:pPr>
          </w:p>
          <w:p w:rsidR="0031027A" w:rsidRPr="002B5D5B" w:rsidRDefault="00FC6FC0" w:rsidP="0031027A">
            <w:pPr>
              <w:rPr>
                <w:rStyle w:val="Seitenzahl"/>
                <w:rFonts w:eastAsiaTheme="minorHAnsi" w:cstheme="minorBidi"/>
                <w:szCs w:val="22"/>
                <w:u w:val="single"/>
                <w:lang w:val="fr-FR" w:eastAsia="en-US"/>
              </w:rPr>
            </w:pPr>
            <w:r w:rsidRPr="002B5D5B">
              <w:rPr>
                <w:rStyle w:val="Seitenzahl"/>
                <w:rFonts w:eastAsiaTheme="minorHAnsi" w:cstheme="minorBidi"/>
                <w:szCs w:val="22"/>
                <w:u w:val="single"/>
                <w:lang w:val="fr-FR" w:eastAsia="en-US"/>
              </w:rPr>
              <w:t>IMIS</w:t>
            </w:r>
            <w:r w:rsidR="00EE6EB2" w:rsidRPr="002B5D5B">
              <w:rPr>
                <w:rStyle w:val="Seitenzahl"/>
                <w:rFonts w:eastAsiaTheme="minorHAnsi" w:cstheme="minorBidi"/>
                <w:szCs w:val="22"/>
                <w:u w:val="single"/>
                <w:lang w:val="fr-FR" w:eastAsia="en-US"/>
              </w:rPr>
              <w:t xml:space="preserve"> – le </w:t>
            </w:r>
            <w:r w:rsidRPr="002B5D5B">
              <w:rPr>
                <w:rStyle w:val="Seitenzahl"/>
                <w:rFonts w:eastAsiaTheme="minorHAnsi" w:cstheme="minorBidi"/>
                <w:szCs w:val="22"/>
                <w:u w:val="single"/>
                <w:lang w:val="fr-FR" w:eastAsia="en-US"/>
              </w:rPr>
              <w:t xml:space="preserve"> </w:t>
            </w:r>
            <w:r w:rsidR="009627B2">
              <w:rPr>
                <w:rStyle w:val="Seitenzahl"/>
                <w:rFonts w:eastAsiaTheme="minorHAnsi" w:cstheme="minorBidi"/>
                <w:szCs w:val="22"/>
                <w:u w:val="single"/>
                <w:lang w:val="fr-FR" w:eastAsia="en-US"/>
              </w:rPr>
              <w:t>passé, le présent et le futur</w:t>
            </w:r>
            <w:r w:rsidRPr="002B5D5B">
              <w:rPr>
                <w:rStyle w:val="Seitenzahl"/>
                <w:rFonts w:eastAsiaTheme="minorHAnsi" w:cstheme="minorBidi"/>
                <w:szCs w:val="22"/>
                <w:u w:val="single"/>
                <w:lang w:val="fr-FR" w:eastAsia="en-US"/>
              </w:rPr>
              <w:t>:</w:t>
            </w:r>
          </w:p>
          <w:p w:rsidR="0057089F" w:rsidRPr="00F85C3E" w:rsidRDefault="00EE6EB2" w:rsidP="00EE6EB2">
            <w:pPr>
              <w:pStyle w:val="Listenabsatz"/>
              <w:numPr>
                <w:ilvl w:val="0"/>
                <w:numId w:val="19"/>
              </w:numPr>
              <w:rPr>
                <w:rStyle w:val="Seitenzahl"/>
                <w:lang w:val="fr-FR"/>
              </w:rPr>
            </w:pPr>
            <w:r w:rsidRPr="00F85C3E">
              <w:rPr>
                <w:rStyle w:val="Seitenzahl"/>
                <w:lang w:val="fr-FR"/>
              </w:rPr>
              <w:t>L’Institut Tropical et de Santé Publique Suisse</w:t>
            </w:r>
            <w:r w:rsidR="009627B2" w:rsidRPr="00F85C3E">
              <w:rPr>
                <w:rStyle w:val="Seitenzahl"/>
                <w:lang w:val="fr-FR"/>
              </w:rPr>
              <w:t xml:space="preserve"> propose d’unifier le système pour mettre à disposition un système unique robuste qui peut déjà maintenant opérationnaliser la « communauté de pratique » et être une solution pour d’autres qui veulent utiliser le logiciel s’ils sont satisfaits par le choix technologique actuel, tandis que l’Institut </w:t>
            </w:r>
            <w:r w:rsidR="00F85C3E" w:rsidRPr="00F85C3E">
              <w:rPr>
                <w:rStyle w:val="Seitenzahl"/>
                <w:lang w:val="fr-FR"/>
              </w:rPr>
              <w:t xml:space="preserve">travaille sur la conception et </w:t>
            </w:r>
            <w:r w:rsidR="004C07CA">
              <w:rPr>
                <w:rStyle w:val="Seitenzahl"/>
                <w:lang w:val="fr-FR"/>
              </w:rPr>
              <w:t xml:space="preserve">l’implémentation de la version </w:t>
            </w:r>
            <w:proofErr w:type="spellStart"/>
            <w:r w:rsidR="004C07CA">
              <w:rPr>
                <w:rStyle w:val="Seitenzahl"/>
                <w:lang w:val="fr-FR"/>
              </w:rPr>
              <w:t>o</w:t>
            </w:r>
            <w:r w:rsidR="00F85C3E" w:rsidRPr="00F85C3E">
              <w:rPr>
                <w:rStyle w:val="Seitenzahl"/>
                <w:lang w:val="fr-FR"/>
              </w:rPr>
              <w:t>penHIMIS</w:t>
            </w:r>
            <w:proofErr w:type="spellEnd"/>
            <w:r w:rsidR="001038B9" w:rsidRPr="00F85C3E">
              <w:rPr>
                <w:rStyle w:val="Seitenzahl"/>
                <w:lang w:val="fr-FR"/>
              </w:rPr>
              <w:t xml:space="preserve"> </w:t>
            </w:r>
          </w:p>
          <w:p w:rsidR="00FC6FC0" w:rsidRPr="002B5D5B" w:rsidRDefault="00FC6FC0" w:rsidP="0031027A">
            <w:pPr>
              <w:rPr>
                <w:rStyle w:val="Seitenzahl"/>
                <w:lang w:val="fr-FR"/>
              </w:rPr>
            </w:pPr>
          </w:p>
          <w:p w:rsidR="001038B9" w:rsidRPr="002B5D5B" w:rsidRDefault="001038B9" w:rsidP="00F85C3E">
            <w:pPr>
              <w:ind w:left="708" w:hanging="708"/>
              <w:rPr>
                <w:rStyle w:val="Seitenzahl"/>
                <w:u w:val="single"/>
                <w:lang w:val="fr-FR"/>
              </w:rPr>
            </w:pPr>
            <w:r w:rsidRPr="002B5D5B">
              <w:rPr>
                <w:rStyle w:val="Seitenzahl"/>
                <w:u w:val="single"/>
                <w:lang w:val="fr-FR"/>
              </w:rPr>
              <w:t xml:space="preserve">Les expériences utilisant des systèmes </w:t>
            </w:r>
            <w:r w:rsidR="00FC04EC">
              <w:rPr>
                <w:rStyle w:val="Seitenzahl"/>
                <w:u w:val="single"/>
                <w:lang w:val="fr-FR"/>
              </w:rPr>
              <w:t>d’information</w:t>
            </w:r>
            <w:r w:rsidR="00F85C3E">
              <w:rPr>
                <w:rStyle w:val="Seitenzahl"/>
                <w:u w:val="single"/>
                <w:lang w:val="fr-FR"/>
              </w:rPr>
              <w:t xml:space="preserve"> de g</w:t>
            </w:r>
            <w:r w:rsidRPr="002B5D5B">
              <w:rPr>
                <w:rStyle w:val="Seitenzahl"/>
                <w:u w:val="single"/>
                <w:lang w:val="fr-FR"/>
              </w:rPr>
              <w:t xml:space="preserve">estion dans les pays partenaires : </w:t>
            </w:r>
          </w:p>
          <w:p w:rsidR="00E00E17" w:rsidRPr="002B5D5B" w:rsidRDefault="00F85C3E" w:rsidP="00F85C3E">
            <w:pPr>
              <w:pStyle w:val="Listenabsatz"/>
              <w:numPr>
                <w:ilvl w:val="0"/>
                <w:numId w:val="19"/>
              </w:numPr>
              <w:rPr>
                <w:rStyle w:val="Seitenzahl"/>
                <w:u w:val="single"/>
                <w:lang w:val="fr-FR"/>
              </w:rPr>
            </w:pPr>
            <w:r>
              <w:rPr>
                <w:rStyle w:val="Seitenzahl"/>
                <w:lang w:val="fr-FR"/>
              </w:rPr>
              <w:t>les expériences avec l</w:t>
            </w:r>
            <w:r w:rsidR="001038B9" w:rsidRPr="002B5D5B">
              <w:rPr>
                <w:rStyle w:val="Seitenzahl"/>
                <w:lang w:val="fr-FR"/>
              </w:rPr>
              <w:t xml:space="preserve">es systèmes </w:t>
            </w:r>
            <w:r>
              <w:rPr>
                <w:rStyle w:val="Seitenzahl"/>
                <w:lang w:val="fr-FR"/>
              </w:rPr>
              <w:t xml:space="preserve">d’information de gestion </w:t>
            </w:r>
            <w:r w:rsidR="001038B9" w:rsidRPr="002B5D5B">
              <w:rPr>
                <w:rStyle w:val="Seitenzahl"/>
                <w:lang w:val="fr-FR"/>
              </w:rPr>
              <w:t>en Inde, au Kenya, au Népal, au</w:t>
            </w:r>
            <w:r>
              <w:rPr>
                <w:rStyle w:val="Seitenzahl"/>
                <w:lang w:val="fr-FR"/>
              </w:rPr>
              <w:t>x Philippines et au Togo ont</w:t>
            </w:r>
            <w:r w:rsidR="001038B9" w:rsidRPr="002B5D5B">
              <w:rPr>
                <w:rStyle w:val="Seitenzahl"/>
                <w:lang w:val="fr-FR"/>
              </w:rPr>
              <w:t xml:space="preserve"> fortement varié selon les différents contextes. A cause de ça, les </w:t>
            </w:r>
            <w:r>
              <w:rPr>
                <w:rStyle w:val="Seitenzahl"/>
                <w:lang w:val="fr-FR"/>
              </w:rPr>
              <w:t>exigences</w:t>
            </w:r>
            <w:r w:rsidR="001038B9" w:rsidRPr="002B5D5B">
              <w:rPr>
                <w:rStyle w:val="Seitenzahl"/>
                <w:lang w:val="fr-FR"/>
              </w:rPr>
              <w:t xml:space="preserve"> nati</w:t>
            </w:r>
            <w:r w:rsidR="004C07CA">
              <w:rPr>
                <w:rStyle w:val="Seitenzahl"/>
                <w:lang w:val="fr-FR"/>
              </w:rPr>
              <w:t xml:space="preserve">onales quant à </w:t>
            </w:r>
            <w:proofErr w:type="spellStart"/>
            <w:r w:rsidR="004C07CA">
              <w:rPr>
                <w:rStyle w:val="Seitenzahl"/>
                <w:lang w:val="fr-FR"/>
              </w:rPr>
              <w:t>o</w:t>
            </w:r>
            <w:r>
              <w:rPr>
                <w:rStyle w:val="Seitenzahl"/>
                <w:lang w:val="fr-FR"/>
              </w:rPr>
              <w:t>penHIMIS</w:t>
            </w:r>
            <w:proofErr w:type="spellEnd"/>
            <w:r>
              <w:rPr>
                <w:rStyle w:val="Seitenzahl"/>
                <w:lang w:val="fr-FR"/>
              </w:rPr>
              <w:t xml:space="preserve"> divergent, ce qui pourrait indiquer</w:t>
            </w:r>
            <w:r w:rsidR="008B346A" w:rsidRPr="002B5D5B">
              <w:rPr>
                <w:rStyle w:val="Seitenzahl"/>
                <w:lang w:val="fr-FR"/>
              </w:rPr>
              <w:t xml:space="preserve"> qu’une structure modulaire </w:t>
            </w:r>
            <w:r>
              <w:rPr>
                <w:rStyle w:val="Seitenzahl"/>
                <w:lang w:val="fr-FR"/>
              </w:rPr>
              <w:t>est</w:t>
            </w:r>
            <w:r w:rsidR="008B346A" w:rsidRPr="002B5D5B">
              <w:rPr>
                <w:rStyle w:val="Seitenzahl"/>
                <w:lang w:val="fr-FR"/>
              </w:rPr>
              <w:t xml:space="preserve"> souhaitable</w:t>
            </w:r>
          </w:p>
        </w:tc>
      </w:tr>
      <w:tr w:rsidR="00E00E17" w:rsidRPr="0001277F" w:rsidTr="00533815">
        <w:trPr>
          <w:trHeight w:val="726"/>
        </w:trPr>
        <w:tc>
          <w:tcPr>
            <w:tcW w:w="9720" w:type="dxa"/>
          </w:tcPr>
          <w:p w:rsidR="00E00E17" w:rsidRPr="002B5D5B" w:rsidRDefault="008B346A" w:rsidP="00B621D3">
            <w:pPr>
              <w:spacing w:before="120"/>
              <w:rPr>
                <w:b/>
                <w:u w:val="single"/>
                <w:lang w:val="fr-FR"/>
              </w:rPr>
            </w:pPr>
            <w:bookmarkStart w:id="1" w:name="Start"/>
            <w:bookmarkEnd w:id="1"/>
            <w:r w:rsidRPr="002B5D5B">
              <w:rPr>
                <w:b/>
                <w:u w:val="single"/>
                <w:lang w:val="fr-FR"/>
              </w:rPr>
              <w:t xml:space="preserve">Jour 2, 5 juillet </w:t>
            </w:r>
            <w:r w:rsidR="00E00E17" w:rsidRPr="002B5D5B">
              <w:rPr>
                <w:b/>
                <w:u w:val="single"/>
                <w:lang w:val="fr-FR"/>
              </w:rPr>
              <w:t>2016</w:t>
            </w:r>
          </w:p>
          <w:p w:rsidR="00B621D3" w:rsidRPr="002B5D5B" w:rsidRDefault="00B621D3" w:rsidP="00E00E17">
            <w:pPr>
              <w:rPr>
                <w:b/>
                <w:u w:val="single"/>
                <w:lang w:val="fr-FR"/>
              </w:rPr>
            </w:pPr>
          </w:p>
          <w:p w:rsidR="004C7C4B" w:rsidRPr="002B5D5B" w:rsidRDefault="008B346A" w:rsidP="00E00E17">
            <w:pPr>
              <w:rPr>
                <w:lang w:val="fr-FR"/>
              </w:rPr>
            </w:pPr>
            <w:r w:rsidRPr="002B5D5B">
              <w:rPr>
                <w:lang w:val="fr-FR"/>
              </w:rPr>
              <w:t>Le deuxième jour se concentrait sur les</w:t>
            </w:r>
            <w:r w:rsidR="00F85C3E">
              <w:rPr>
                <w:lang w:val="fr-FR"/>
              </w:rPr>
              <w:t xml:space="preserve"> discussion sur les</w:t>
            </w:r>
            <w:r w:rsidRPr="002B5D5B">
              <w:rPr>
                <w:lang w:val="fr-FR"/>
              </w:rPr>
              <w:t xml:space="preserve"> processus et une analyse</w:t>
            </w:r>
            <w:proofErr w:type="gramStart"/>
            <w:r w:rsidRPr="002B5D5B">
              <w:rPr>
                <w:lang w:val="fr-FR"/>
              </w:rPr>
              <w:t xml:space="preserve"> «SWOT</w:t>
            </w:r>
            <w:proofErr w:type="gramEnd"/>
            <w:r w:rsidRPr="002B5D5B">
              <w:rPr>
                <w:lang w:val="fr-FR"/>
              </w:rPr>
              <w:t xml:space="preserve">» (forces, faiblesses,  possibilités, menaces) du système </w:t>
            </w:r>
            <w:r w:rsidR="00FC04EC">
              <w:rPr>
                <w:lang w:val="fr-FR"/>
              </w:rPr>
              <w:t>d’information</w:t>
            </w:r>
            <w:r w:rsidRPr="002B5D5B">
              <w:rPr>
                <w:lang w:val="fr-FR"/>
              </w:rPr>
              <w:t xml:space="preserve"> de gestion d’assurances.</w:t>
            </w:r>
          </w:p>
          <w:p w:rsidR="00904490" w:rsidRPr="002B5D5B" w:rsidRDefault="00904490" w:rsidP="00E00E17">
            <w:pPr>
              <w:rPr>
                <w:b/>
                <w:u w:val="single"/>
                <w:lang w:val="fr-FR"/>
              </w:rPr>
            </w:pPr>
          </w:p>
          <w:p w:rsidR="00CB1FD4" w:rsidRPr="002B5D5B" w:rsidRDefault="00904490" w:rsidP="00904490">
            <w:pPr>
              <w:rPr>
                <w:u w:val="single"/>
                <w:lang w:val="fr-FR"/>
              </w:rPr>
            </w:pPr>
            <w:r w:rsidRPr="002B5D5B">
              <w:rPr>
                <w:u w:val="single"/>
                <w:lang w:val="fr-FR"/>
              </w:rPr>
              <w:t>World Café:</w:t>
            </w:r>
          </w:p>
          <w:p w:rsidR="008B346A" w:rsidRPr="002B5D5B" w:rsidRDefault="008B346A" w:rsidP="008B346A">
            <w:pPr>
              <w:pStyle w:val="Listenabsatz"/>
              <w:numPr>
                <w:ilvl w:val="0"/>
                <w:numId w:val="19"/>
              </w:numPr>
              <w:rPr>
                <w:lang w:val="fr-FR"/>
              </w:rPr>
            </w:pPr>
            <w:r w:rsidRPr="002B5D5B">
              <w:rPr>
                <w:lang w:val="fr-FR"/>
              </w:rPr>
              <w:t>tous les flux des travaux qui soulignent les processus différents devraient être adaptables aux processus spécifiques au contexte des pays différents</w:t>
            </w:r>
          </w:p>
          <w:p w:rsidR="008B346A" w:rsidRPr="002B5D5B" w:rsidRDefault="008B346A" w:rsidP="00904490">
            <w:pPr>
              <w:rPr>
                <w:u w:val="single"/>
                <w:lang w:val="fr-FR"/>
              </w:rPr>
            </w:pPr>
          </w:p>
          <w:p w:rsidR="008B346A" w:rsidRPr="002B5D5B" w:rsidRDefault="008B346A" w:rsidP="00904490">
            <w:pPr>
              <w:rPr>
                <w:lang w:val="fr-FR"/>
              </w:rPr>
            </w:pPr>
            <w:r w:rsidRPr="002B5D5B">
              <w:rPr>
                <w:u w:val="single"/>
                <w:lang w:val="fr-FR"/>
              </w:rPr>
              <w:lastRenderedPageBreak/>
              <w:t>L</w:t>
            </w:r>
            <w:r w:rsidR="00724EC9" w:rsidRPr="002B5D5B">
              <w:rPr>
                <w:u w:val="single"/>
                <w:lang w:val="fr-FR"/>
              </w:rPr>
              <w:t>’analyse « SWOT » (forces, faiblesses, possibilités, menaces)</w:t>
            </w:r>
            <w:r w:rsidR="00724EC9" w:rsidRPr="002B5D5B">
              <w:rPr>
                <w:lang w:val="fr-FR"/>
              </w:rPr>
              <w:t xml:space="preserve"> de l’utilisation comme base d’un système </w:t>
            </w:r>
            <w:r w:rsidR="00FC04EC">
              <w:rPr>
                <w:lang w:val="fr-FR"/>
              </w:rPr>
              <w:t>d’information</w:t>
            </w:r>
            <w:r w:rsidR="00724EC9" w:rsidRPr="002B5D5B">
              <w:rPr>
                <w:lang w:val="fr-FR"/>
              </w:rPr>
              <w:t xml:space="preserve"> de gestion d’assurances</w:t>
            </w:r>
            <w:r w:rsidR="002B5D5B">
              <w:rPr>
                <w:lang w:val="fr-FR"/>
              </w:rPr>
              <w:t xml:space="preserve"> IMIS</w:t>
            </w:r>
            <w:r w:rsidR="00724EC9" w:rsidRPr="002B5D5B">
              <w:rPr>
                <w:lang w:val="fr-FR"/>
              </w:rPr>
              <w:t xml:space="preserve"> comme solution universelle (vu qu’il s’agit ici d’une synthèse, ne sont mentionnés que quelques aspects représentatifs) :</w:t>
            </w:r>
          </w:p>
          <w:p w:rsidR="00724EC9" w:rsidRPr="002B5D5B" w:rsidRDefault="00724EC9" w:rsidP="00724EC9">
            <w:pPr>
              <w:pStyle w:val="Listenabsatz"/>
              <w:numPr>
                <w:ilvl w:val="0"/>
                <w:numId w:val="19"/>
              </w:numPr>
              <w:rPr>
                <w:i/>
                <w:lang w:val="fr-FR"/>
              </w:rPr>
            </w:pPr>
            <w:r w:rsidRPr="002B5D5B">
              <w:rPr>
                <w:i/>
                <w:lang w:val="fr-FR"/>
              </w:rPr>
              <w:t>les forces :</w:t>
            </w:r>
          </w:p>
          <w:p w:rsidR="00724EC9" w:rsidRPr="002B5D5B" w:rsidRDefault="00724EC9" w:rsidP="00724EC9">
            <w:pPr>
              <w:pStyle w:val="Listenabsatz"/>
              <w:numPr>
                <w:ilvl w:val="1"/>
                <w:numId w:val="19"/>
              </w:numPr>
              <w:rPr>
                <w:lang w:val="fr-FR"/>
              </w:rPr>
            </w:pPr>
            <w:r w:rsidRPr="002B5D5B">
              <w:rPr>
                <w:lang w:val="fr-FR"/>
              </w:rPr>
              <w:t>la flexibilité et le développement selon les exigences locales</w:t>
            </w:r>
          </w:p>
          <w:p w:rsidR="00724EC9" w:rsidRPr="002B5D5B" w:rsidRDefault="00724EC9" w:rsidP="00724EC9">
            <w:pPr>
              <w:pStyle w:val="Listenabsatz"/>
              <w:numPr>
                <w:ilvl w:val="1"/>
                <w:numId w:val="19"/>
              </w:numPr>
              <w:rPr>
                <w:lang w:val="fr-FR"/>
              </w:rPr>
            </w:pPr>
            <w:r w:rsidRPr="002B5D5B">
              <w:rPr>
                <w:lang w:val="fr-FR"/>
              </w:rPr>
              <w:t>la possibilité de contrôler la fraude</w:t>
            </w:r>
          </w:p>
          <w:p w:rsidR="00724EC9" w:rsidRPr="002B5D5B" w:rsidRDefault="004E74AB" w:rsidP="004E74AB">
            <w:pPr>
              <w:pStyle w:val="Listenabsatz"/>
              <w:numPr>
                <w:ilvl w:val="0"/>
                <w:numId w:val="19"/>
              </w:numPr>
              <w:rPr>
                <w:i/>
                <w:lang w:val="fr-FR"/>
              </w:rPr>
            </w:pPr>
            <w:r w:rsidRPr="002B5D5B">
              <w:rPr>
                <w:i/>
                <w:lang w:val="fr-FR"/>
              </w:rPr>
              <w:t>les faiblesses :</w:t>
            </w:r>
          </w:p>
          <w:p w:rsidR="002B5D5B" w:rsidRPr="002B5D5B" w:rsidRDefault="004E74AB" w:rsidP="002B5D5B">
            <w:pPr>
              <w:pStyle w:val="Listenabsatz"/>
              <w:numPr>
                <w:ilvl w:val="1"/>
                <w:numId w:val="19"/>
              </w:numPr>
              <w:rPr>
                <w:lang w:val="fr-FR"/>
              </w:rPr>
            </w:pPr>
            <w:r w:rsidRPr="002B5D5B">
              <w:rPr>
                <w:lang w:val="fr-FR"/>
              </w:rPr>
              <w:t xml:space="preserve">les limitations potentielles concernant quelques éléments dans la conception des polices ; </w:t>
            </w:r>
            <w:r w:rsidR="0013228B">
              <w:rPr>
                <w:lang w:val="fr-FR"/>
              </w:rPr>
              <w:t>les éléments doivent être compatible avec le logiciel « open source »</w:t>
            </w:r>
          </w:p>
          <w:p w:rsidR="004E74AB" w:rsidRDefault="002B5D5B" w:rsidP="004E74AB">
            <w:pPr>
              <w:pStyle w:val="Listenabsatz"/>
              <w:numPr>
                <w:ilvl w:val="1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pas d’option de couverture indéfinie</w:t>
            </w:r>
          </w:p>
          <w:p w:rsidR="002B5D5B" w:rsidRDefault="002B5D5B" w:rsidP="002B5D5B">
            <w:pPr>
              <w:pStyle w:val="Listenabsatz"/>
              <w:numPr>
                <w:ilvl w:val="0"/>
                <w:numId w:val="19"/>
              </w:numPr>
              <w:rPr>
                <w:i/>
                <w:lang w:val="fr-FR"/>
              </w:rPr>
            </w:pPr>
            <w:r w:rsidRPr="002B5D5B">
              <w:rPr>
                <w:i/>
                <w:lang w:val="fr-FR"/>
              </w:rPr>
              <w:t>possibilités</w:t>
            </w:r>
            <w:r w:rsidR="007F36B9">
              <w:rPr>
                <w:i/>
                <w:lang w:val="fr-FR"/>
              </w:rPr>
              <w:t> :</w:t>
            </w:r>
          </w:p>
          <w:p w:rsidR="002B5D5B" w:rsidRPr="007F36B9" w:rsidRDefault="002B5D5B" w:rsidP="007F36B9">
            <w:pPr>
              <w:pStyle w:val="Listenabsatz"/>
              <w:numPr>
                <w:ilvl w:val="1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  <w:r w:rsidRPr="002B5D5B">
              <w:rPr>
                <w:lang w:val="fr-FR"/>
              </w:rPr>
              <w:t xml:space="preserve">système </w:t>
            </w:r>
            <w:r w:rsidR="00FC04EC">
              <w:rPr>
                <w:lang w:val="fr-FR"/>
              </w:rPr>
              <w:t>d’information</w:t>
            </w:r>
            <w:r w:rsidRPr="002B5D5B">
              <w:rPr>
                <w:lang w:val="fr-FR"/>
              </w:rPr>
              <w:t xml:space="preserve"> de gestion d’assurances</w:t>
            </w:r>
            <w:r>
              <w:rPr>
                <w:lang w:val="fr-FR"/>
              </w:rPr>
              <w:t xml:space="preserve"> </w:t>
            </w:r>
            <w:r w:rsidR="00F85C3E">
              <w:rPr>
                <w:lang w:val="fr-FR"/>
              </w:rPr>
              <w:t>(</w:t>
            </w:r>
            <w:r>
              <w:rPr>
                <w:lang w:val="fr-FR"/>
              </w:rPr>
              <w:t>IMIS</w:t>
            </w:r>
            <w:r w:rsidR="00F85C3E">
              <w:rPr>
                <w:lang w:val="fr-FR"/>
              </w:rPr>
              <w:t>)</w:t>
            </w:r>
            <w:r>
              <w:rPr>
                <w:lang w:val="fr-FR"/>
              </w:rPr>
              <w:t xml:space="preserve"> comme outil d’</w:t>
            </w:r>
            <w:r w:rsidR="007F36B9">
              <w:rPr>
                <w:lang w:val="fr-FR"/>
              </w:rPr>
              <w:t xml:space="preserve">analyse, </w:t>
            </w:r>
            <w:r>
              <w:rPr>
                <w:lang w:val="fr-FR"/>
              </w:rPr>
              <w:t>de suivi</w:t>
            </w:r>
            <w:r w:rsidR="007F36B9">
              <w:rPr>
                <w:lang w:val="fr-FR"/>
              </w:rPr>
              <w:t xml:space="preserve"> et de concentration de ressources</w:t>
            </w:r>
          </w:p>
          <w:p w:rsidR="007F36B9" w:rsidRPr="007F36B9" w:rsidRDefault="007F36B9" w:rsidP="007F36B9">
            <w:pPr>
              <w:pStyle w:val="Listenabsatz"/>
              <w:numPr>
                <w:ilvl w:val="1"/>
                <w:numId w:val="19"/>
              </w:numPr>
              <w:rPr>
                <w:lang w:val="fr-FR"/>
              </w:rPr>
            </w:pPr>
            <w:r w:rsidRPr="007F36B9">
              <w:rPr>
                <w:lang w:val="fr-FR"/>
              </w:rPr>
              <w:t>introduction de procédures standardisées</w:t>
            </w:r>
          </w:p>
          <w:p w:rsidR="007F36B9" w:rsidRDefault="007F36B9" w:rsidP="002B5D5B">
            <w:pPr>
              <w:pStyle w:val="Listenabsatz"/>
              <w:numPr>
                <w:ilvl w:val="0"/>
                <w:numId w:val="19"/>
              </w:numPr>
              <w:rPr>
                <w:i/>
                <w:lang w:val="fr-FR"/>
              </w:rPr>
            </w:pPr>
            <w:proofErr w:type="gramStart"/>
            <w:r>
              <w:rPr>
                <w:i/>
                <w:lang w:val="fr-FR"/>
              </w:rPr>
              <w:t>menaces</w:t>
            </w:r>
            <w:proofErr w:type="gramEnd"/>
            <w:r>
              <w:rPr>
                <w:i/>
                <w:lang w:val="fr-FR"/>
              </w:rPr>
              <w:t> :</w:t>
            </w:r>
          </w:p>
          <w:p w:rsidR="007F36B9" w:rsidRPr="007F36B9" w:rsidRDefault="007F36B9" w:rsidP="007F36B9">
            <w:pPr>
              <w:pStyle w:val="Listenabsatz"/>
              <w:numPr>
                <w:ilvl w:val="1"/>
                <w:numId w:val="19"/>
              </w:numPr>
              <w:rPr>
                <w:lang w:val="fr-FR"/>
              </w:rPr>
            </w:pPr>
            <w:r w:rsidRPr="007F36B9">
              <w:rPr>
                <w:lang w:val="fr-FR"/>
              </w:rPr>
              <w:t xml:space="preserve">Avec un champ </w:t>
            </w:r>
            <w:r w:rsidR="00F85C3E">
              <w:rPr>
                <w:lang w:val="fr-FR"/>
              </w:rPr>
              <w:t xml:space="preserve">d’application </w:t>
            </w:r>
            <w:r w:rsidRPr="007F36B9">
              <w:rPr>
                <w:lang w:val="fr-FR"/>
              </w:rPr>
              <w:t>élargi et plus de fonctionnalités, l’implémentation et le maintien du système deviennent difficiles</w:t>
            </w:r>
          </w:p>
          <w:p w:rsidR="00E91260" w:rsidRPr="007F36B9" w:rsidRDefault="007F36B9" w:rsidP="007F36B9">
            <w:pPr>
              <w:pStyle w:val="Listenabsatz"/>
              <w:numPr>
                <w:ilvl w:val="1"/>
                <w:numId w:val="19"/>
              </w:numPr>
              <w:rPr>
                <w:lang w:val="fr-FR"/>
              </w:rPr>
            </w:pPr>
            <w:r w:rsidRPr="007F36B9">
              <w:rPr>
                <w:lang w:val="fr-FR"/>
              </w:rPr>
              <w:t>Il y a des conflits d’intérêt entre les différents acteurs concernant les prochaines étapes vers le développement « open source »</w:t>
            </w:r>
          </w:p>
        </w:tc>
      </w:tr>
      <w:tr w:rsidR="003C4E4A" w:rsidRPr="0001277F" w:rsidTr="00533815">
        <w:trPr>
          <w:trHeight w:val="726"/>
        </w:trPr>
        <w:tc>
          <w:tcPr>
            <w:tcW w:w="9720" w:type="dxa"/>
          </w:tcPr>
          <w:p w:rsidR="00B621D3" w:rsidRPr="002B5D5B" w:rsidRDefault="007F36B9" w:rsidP="00B621D3">
            <w:pPr>
              <w:spacing w:before="120"/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lastRenderedPageBreak/>
              <w:t>Jour</w:t>
            </w:r>
            <w:r w:rsidR="00B621D3" w:rsidRPr="002B5D5B">
              <w:rPr>
                <w:b/>
                <w:u w:val="single"/>
                <w:lang w:val="fr-FR"/>
              </w:rPr>
              <w:t xml:space="preserve"> </w:t>
            </w:r>
            <w:r>
              <w:rPr>
                <w:b/>
                <w:u w:val="single"/>
                <w:lang w:val="fr-FR"/>
              </w:rPr>
              <w:t xml:space="preserve">3, 6 juillet </w:t>
            </w:r>
            <w:r w:rsidR="00B621D3" w:rsidRPr="002B5D5B">
              <w:rPr>
                <w:b/>
                <w:u w:val="single"/>
                <w:lang w:val="fr-FR"/>
              </w:rPr>
              <w:t>2016</w:t>
            </w:r>
          </w:p>
          <w:p w:rsidR="003C4E4A" w:rsidRPr="002B5D5B" w:rsidRDefault="003C4E4A" w:rsidP="00E00E17">
            <w:pPr>
              <w:rPr>
                <w:lang w:val="fr-FR"/>
              </w:rPr>
            </w:pPr>
          </w:p>
          <w:p w:rsidR="007F36B9" w:rsidRDefault="007F36B9" w:rsidP="00E00E17">
            <w:pPr>
              <w:rPr>
                <w:lang w:val="fr-FR"/>
              </w:rPr>
            </w:pPr>
            <w:r>
              <w:rPr>
                <w:lang w:val="fr-FR"/>
              </w:rPr>
              <w:t>L’objectif du dernier jour de l’atelier était de s’accorder sur les prochaines étapes, d’arriver à une compréhension commune de la carte des parties prenantes</w:t>
            </w:r>
            <w:r w:rsidR="0013228B">
              <w:rPr>
                <w:lang w:val="fr-FR"/>
              </w:rPr>
              <w:t xml:space="preserve"> (stakeholder </w:t>
            </w:r>
            <w:proofErr w:type="spellStart"/>
            <w:r w:rsidR="0013228B">
              <w:rPr>
                <w:lang w:val="fr-FR"/>
              </w:rPr>
              <w:t>map</w:t>
            </w:r>
            <w:proofErr w:type="spellEnd"/>
            <w:r w:rsidR="0013228B">
              <w:rPr>
                <w:lang w:val="fr-FR"/>
              </w:rPr>
              <w:t>)</w:t>
            </w:r>
            <w:r>
              <w:rPr>
                <w:lang w:val="fr-FR"/>
              </w:rPr>
              <w:t xml:space="preserve"> et d’esquisser les éléments clés d’une </w:t>
            </w:r>
            <w:r w:rsidR="0013228B">
              <w:rPr>
                <w:lang w:val="fr-FR"/>
              </w:rPr>
              <w:t>« </w:t>
            </w:r>
            <w:r>
              <w:rPr>
                <w:lang w:val="fr-FR"/>
              </w:rPr>
              <w:t>feuille de route</w:t>
            </w:r>
            <w:r w:rsidR="0013228B">
              <w:rPr>
                <w:lang w:val="fr-FR"/>
              </w:rPr>
              <w:t> »</w:t>
            </w:r>
            <w:r w:rsidR="00F85C3E">
              <w:rPr>
                <w:lang w:val="fr-FR"/>
              </w:rPr>
              <w:t xml:space="preserve"> pour le futur</w:t>
            </w:r>
            <w:r>
              <w:rPr>
                <w:lang w:val="fr-FR"/>
              </w:rPr>
              <w:t>.</w:t>
            </w:r>
          </w:p>
          <w:p w:rsidR="00FF7BA3" w:rsidRPr="00C56F9D" w:rsidRDefault="00FF7BA3" w:rsidP="00FF7BA3">
            <w:pPr>
              <w:rPr>
                <w:lang w:val="fr-FR"/>
              </w:rPr>
            </w:pPr>
          </w:p>
          <w:p w:rsidR="003C040D" w:rsidRPr="003C040D" w:rsidRDefault="007F36B9" w:rsidP="00FF7BA3">
            <w:pPr>
              <w:rPr>
                <w:lang w:val="fr-FR"/>
              </w:rPr>
            </w:pPr>
            <w:r w:rsidRPr="003C040D">
              <w:rPr>
                <w:u w:val="single"/>
                <w:lang w:val="fr-FR"/>
              </w:rPr>
              <w:t>Carte des parties prenantes</w:t>
            </w:r>
            <w:r w:rsidR="008E6278" w:rsidRPr="003C040D">
              <w:rPr>
                <w:lang w:val="fr-FR"/>
              </w:rPr>
              <w:t xml:space="preserve"> (</w:t>
            </w:r>
            <w:r w:rsidR="003C040D">
              <w:rPr>
                <w:lang w:val="fr-FR"/>
              </w:rPr>
              <w:t>proposée</w:t>
            </w:r>
            <w:r w:rsidRPr="003C040D">
              <w:rPr>
                <w:lang w:val="fr-FR"/>
              </w:rPr>
              <w:t xml:space="preserve"> pendant l’atelier et </w:t>
            </w:r>
            <w:r w:rsidR="003C040D" w:rsidRPr="003C040D">
              <w:rPr>
                <w:lang w:val="fr-FR"/>
              </w:rPr>
              <w:t xml:space="preserve">en ce moment </w:t>
            </w:r>
            <w:r w:rsidR="003C040D">
              <w:rPr>
                <w:lang w:val="fr-FR"/>
              </w:rPr>
              <w:t>examinée par les hôtes de l’évènement)</w:t>
            </w:r>
          </w:p>
          <w:p w:rsidR="003C040D" w:rsidRDefault="003C040D" w:rsidP="003C040D">
            <w:pPr>
              <w:pStyle w:val="Listenabsatz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 xml:space="preserve">La GIZ promeut la </w:t>
            </w:r>
            <w:r w:rsidR="0013228B">
              <w:rPr>
                <w:lang w:val="fr-FR"/>
              </w:rPr>
              <w:t>« </w:t>
            </w:r>
            <w:r>
              <w:rPr>
                <w:lang w:val="fr-FR"/>
              </w:rPr>
              <w:t>feuille de route</w:t>
            </w:r>
            <w:r w:rsidR="0013228B">
              <w:rPr>
                <w:lang w:val="fr-FR"/>
              </w:rPr>
              <w:t> »</w:t>
            </w:r>
          </w:p>
          <w:p w:rsidR="003C040D" w:rsidRDefault="003C040D" w:rsidP="003C040D">
            <w:pPr>
              <w:pStyle w:val="Listenabsatz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Les acteurs suivants vont fournir des commentaires orientés sur le résultat, du matériel additionnel et des conseils :</w:t>
            </w:r>
          </w:p>
          <w:p w:rsidR="003C040D" w:rsidRPr="00FC04EC" w:rsidRDefault="00C56F9D" w:rsidP="003A5F4D">
            <w:pPr>
              <w:pStyle w:val="Listenabsatz"/>
              <w:numPr>
                <w:ilvl w:val="1"/>
                <w:numId w:val="19"/>
              </w:numPr>
              <w:rPr>
                <w:lang w:val="fr-FR"/>
              </w:rPr>
            </w:pPr>
            <w:r w:rsidRPr="00FC04EC">
              <w:rPr>
                <w:lang w:val="fr-FR"/>
              </w:rPr>
              <w:t>Direction du développement et de la coopération Suisse (DDC), l’Institut tropical et de santé publique suisse (</w:t>
            </w:r>
            <w:proofErr w:type="spellStart"/>
            <w:r w:rsidRPr="00FC04EC">
              <w:rPr>
                <w:lang w:val="fr-FR"/>
              </w:rPr>
              <w:t>Swiss</w:t>
            </w:r>
            <w:proofErr w:type="spellEnd"/>
            <w:r w:rsidRPr="00FC04EC">
              <w:rPr>
                <w:lang w:val="fr-FR"/>
              </w:rPr>
              <w:t xml:space="preserve"> TPH), </w:t>
            </w:r>
            <w:proofErr w:type="spellStart"/>
            <w:r w:rsidRPr="00FC04EC">
              <w:rPr>
                <w:lang w:val="fr-FR"/>
              </w:rPr>
              <w:t>Thoughtworks</w:t>
            </w:r>
            <w:proofErr w:type="spellEnd"/>
            <w:r w:rsidR="003A5F4D" w:rsidRPr="00FC04EC">
              <w:rPr>
                <w:lang w:val="fr-FR"/>
              </w:rPr>
              <w:t>, le Népal, la Tanzanie, JLN, l’Université d’Oslo</w:t>
            </w:r>
          </w:p>
          <w:p w:rsidR="003A5F4D" w:rsidRDefault="003A5F4D" w:rsidP="00C56F9D">
            <w:pPr>
              <w:pStyle w:val="Listenabsatz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Les Etats suivants vont être consultés : le Kenya, les Philippines et le Togo</w:t>
            </w:r>
          </w:p>
          <w:p w:rsidR="003A5F4D" w:rsidRDefault="003A5F4D" w:rsidP="00C56F9D">
            <w:pPr>
              <w:pStyle w:val="Listenabsatz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Les banques de développement et des experts du développement « open source » vont être informés (par exemple à travers les réseaux respectifs)</w:t>
            </w:r>
          </w:p>
          <w:p w:rsidR="003A5F4D" w:rsidRDefault="003A5F4D" w:rsidP="003A5F4D">
            <w:pPr>
              <w:rPr>
                <w:lang w:val="fr-FR"/>
              </w:rPr>
            </w:pPr>
          </w:p>
          <w:p w:rsidR="003A5F4D" w:rsidRPr="003B7B79" w:rsidRDefault="003A5F4D" w:rsidP="003A5F4D">
            <w:pPr>
              <w:rPr>
                <w:u w:val="single"/>
                <w:lang w:val="fr-FR"/>
              </w:rPr>
            </w:pPr>
            <w:r w:rsidRPr="003B7B79">
              <w:rPr>
                <w:u w:val="single"/>
                <w:lang w:val="fr-FR"/>
              </w:rPr>
              <w:t>Les enjeux suivants sont à débattre, en particulier concernant le futur immédiat d</w:t>
            </w:r>
            <w:r w:rsidR="003B7B79" w:rsidRPr="003B7B79">
              <w:rPr>
                <w:u w:val="single"/>
                <w:lang w:val="fr-FR"/>
              </w:rPr>
              <w:t>’IMIS :</w:t>
            </w:r>
          </w:p>
          <w:p w:rsidR="0011444A" w:rsidRDefault="0011444A" w:rsidP="003B7B79">
            <w:pPr>
              <w:pStyle w:val="Listenabsatz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A quel point la</w:t>
            </w:r>
            <w:r w:rsidR="005A6615">
              <w:rPr>
                <w:lang w:val="fr-FR"/>
              </w:rPr>
              <w:t xml:space="preserve"> structure existante du système IMIS devrait</w:t>
            </w:r>
            <w:r>
              <w:rPr>
                <w:lang w:val="fr-FR"/>
              </w:rPr>
              <w:t>-elle être maintenue ?</w:t>
            </w:r>
          </w:p>
          <w:p w:rsidR="0011444A" w:rsidRPr="0011444A" w:rsidRDefault="0011444A" w:rsidP="003B7B79">
            <w:pPr>
              <w:pStyle w:val="Listenabsatz"/>
              <w:numPr>
                <w:ilvl w:val="0"/>
                <w:numId w:val="19"/>
              </w:numPr>
              <w:rPr>
                <w:lang w:val="fr-FR"/>
              </w:rPr>
            </w:pPr>
            <w:r w:rsidRPr="0011444A">
              <w:rPr>
                <w:lang w:val="fr-FR"/>
              </w:rPr>
              <w:t>L’unification d’IMIS pour créer une version « master » et le développement d’</w:t>
            </w:r>
            <w:proofErr w:type="spellStart"/>
            <w:r w:rsidRPr="0011444A">
              <w:rPr>
                <w:lang w:val="fr-FR"/>
              </w:rPr>
              <w:t>OpenHIMIS</w:t>
            </w:r>
            <w:proofErr w:type="spellEnd"/>
            <w:r w:rsidRPr="0011444A">
              <w:rPr>
                <w:lang w:val="fr-FR"/>
              </w:rPr>
              <w:t xml:space="preserve"> sur la base de cette version</w:t>
            </w:r>
          </w:p>
          <w:p w:rsidR="0011444A" w:rsidRPr="0011444A" w:rsidRDefault="0011444A" w:rsidP="003B7B79">
            <w:pPr>
              <w:pStyle w:val="Listenabsatz"/>
              <w:numPr>
                <w:ilvl w:val="0"/>
                <w:numId w:val="19"/>
              </w:numPr>
              <w:rPr>
                <w:rStyle w:val="Seitenzahl"/>
                <w:lang w:val="fr-FR"/>
              </w:rPr>
            </w:pPr>
            <w:r w:rsidRPr="0011444A">
              <w:rPr>
                <w:rStyle w:val="Seitenzahl"/>
                <w:lang w:val="fr-FR"/>
              </w:rPr>
              <w:t>Une structure modulaire pour IMIS</w:t>
            </w:r>
          </w:p>
          <w:p w:rsidR="0011444A" w:rsidRPr="0011444A" w:rsidRDefault="0011444A" w:rsidP="0011444A">
            <w:pPr>
              <w:rPr>
                <w:lang w:val="fr-FR"/>
              </w:rPr>
            </w:pPr>
          </w:p>
          <w:p w:rsidR="0011444A" w:rsidRPr="0011444A" w:rsidRDefault="0011444A" w:rsidP="0011444A">
            <w:pPr>
              <w:rPr>
                <w:rFonts w:eastAsiaTheme="minorHAnsi" w:cs="Arial"/>
                <w:sz w:val="20"/>
                <w:u w:val="single"/>
                <w:lang w:val="fr-FR" w:eastAsia="en-US"/>
              </w:rPr>
            </w:pPr>
            <w:r w:rsidRPr="0011444A">
              <w:rPr>
                <w:rFonts w:eastAsiaTheme="minorHAnsi" w:cs="Arial"/>
                <w:sz w:val="20"/>
                <w:u w:val="single"/>
                <w:lang w:val="fr-FR" w:eastAsia="en-US"/>
              </w:rPr>
              <w:t>Vers</w:t>
            </w:r>
            <w:r>
              <w:rPr>
                <w:rFonts w:eastAsiaTheme="minorHAnsi" w:cs="Arial"/>
                <w:sz w:val="20"/>
                <w:u w:val="single"/>
                <w:lang w:val="fr-FR" w:eastAsia="en-US"/>
              </w:rPr>
              <w:t xml:space="preserve"> la</w:t>
            </w:r>
            <w:r w:rsidRPr="0011444A">
              <w:rPr>
                <w:rFonts w:eastAsiaTheme="minorHAnsi" w:cs="Arial"/>
                <w:sz w:val="20"/>
                <w:u w:val="single"/>
                <w:lang w:val="fr-FR" w:eastAsia="en-US"/>
              </w:rPr>
              <w:t xml:space="preserve"> conception </w:t>
            </w:r>
            <w:r>
              <w:rPr>
                <w:rFonts w:eastAsiaTheme="minorHAnsi" w:cs="Arial"/>
                <w:sz w:val="20"/>
                <w:u w:val="single"/>
                <w:lang w:val="fr-FR" w:eastAsia="en-US"/>
              </w:rPr>
              <w:t>d’une « feuille de route »</w:t>
            </w:r>
          </w:p>
          <w:p w:rsidR="003C040D" w:rsidRPr="0011444A" w:rsidRDefault="003B7B79" w:rsidP="003B7B79">
            <w:pPr>
              <w:pStyle w:val="Listenabsatz"/>
              <w:numPr>
                <w:ilvl w:val="0"/>
                <w:numId w:val="19"/>
              </w:numPr>
              <w:rPr>
                <w:lang w:val="fr-FR"/>
              </w:rPr>
            </w:pPr>
            <w:r w:rsidRPr="0011444A">
              <w:rPr>
                <w:lang w:val="fr-FR"/>
              </w:rPr>
              <w:t>Une structure de gouvernance préalable est désirable afin d’arriver à une structure de gouvernance</w:t>
            </w:r>
          </w:p>
          <w:p w:rsidR="003B7B79" w:rsidRPr="0011444A" w:rsidRDefault="003B7B79" w:rsidP="003B7B79">
            <w:pPr>
              <w:pStyle w:val="Listenabsatz"/>
              <w:numPr>
                <w:ilvl w:val="0"/>
                <w:numId w:val="19"/>
              </w:numPr>
              <w:rPr>
                <w:lang w:val="fr-FR"/>
              </w:rPr>
            </w:pPr>
            <w:r w:rsidRPr="0011444A">
              <w:rPr>
                <w:lang w:val="fr-FR"/>
              </w:rPr>
              <w:t>La « feuille de route » devrait définir un cadre et clarifier les phases suivantes, tout en se concentrant sur les leçons des expériences avec MIS.</w:t>
            </w:r>
          </w:p>
          <w:p w:rsidR="00B621D3" w:rsidRPr="003B7B79" w:rsidRDefault="003B7B79" w:rsidP="003B7B79">
            <w:pPr>
              <w:pStyle w:val="Listenabsatz"/>
              <w:numPr>
                <w:ilvl w:val="0"/>
                <w:numId w:val="19"/>
              </w:numPr>
              <w:rPr>
                <w:lang w:val="fr-FR"/>
              </w:rPr>
            </w:pPr>
            <w:r w:rsidRPr="0011444A">
              <w:rPr>
                <w:lang w:val="fr-FR"/>
              </w:rPr>
              <w:t>Elle va être développée</w:t>
            </w:r>
            <w:r>
              <w:rPr>
                <w:lang w:val="fr-FR"/>
              </w:rPr>
              <w:t xml:space="preserve"> sur la base des discussions et les contributions pendant l’atelier</w:t>
            </w:r>
          </w:p>
        </w:tc>
      </w:tr>
    </w:tbl>
    <w:p w:rsidR="0035786E" w:rsidRPr="002B5D5B" w:rsidRDefault="00533815" w:rsidP="00A44FDA">
      <w:pPr>
        <w:jc w:val="center"/>
        <w:rPr>
          <w:lang w:val="fr-FR"/>
        </w:rPr>
      </w:pPr>
      <w:r w:rsidRPr="002B5D5B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2BEEC90" wp14:editId="51864670">
            <wp:simplePos x="0" y="0"/>
            <wp:positionH relativeFrom="column">
              <wp:posOffset>970280</wp:posOffset>
            </wp:positionH>
            <wp:positionV relativeFrom="paragraph">
              <wp:posOffset>205740</wp:posOffset>
            </wp:positionV>
            <wp:extent cx="3976370" cy="2983230"/>
            <wp:effectExtent l="0" t="0" r="5080" b="7620"/>
            <wp:wrapTopAndBottom/>
            <wp:docPr id="1" name="Grafik 1" descr="C:\Users\hollma_ker\AppData\Local\Microsoft\Windows\Temporary Internet Files\Content.Word\IMG_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ma_ker\AppData\Local\Microsoft\Windows\Temporary Internet Files\Content.Word\IMG_33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786E" w:rsidRPr="002B5D5B" w:rsidSect="00261B4A">
      <w:type w:val="continuous"/>
      <w:pgSz w:w="11907" w:h="16840" w:code="9"/>
      <w:pgMar w:top="397" w:right="851" w:bottom="851" w:left="1134" w:header="284" w:footer="510" w:gutter="0"/>
      <w:cols w:sep="1"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1D9" w:rsidRDefault="001641D9">
      <w:r>
        <w:separator/>
      </w:r>
    </w:p>
  </w:endnote>
  <w:endnote w:type="continuationSeparator" w:id="0">
    <w:p w:rsidR="001641D9" w:rsidRDefault="0016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D9" w:rsidRDefault="001641D9" w:rsidP="003863DA">
    <w:pPr>
      <w:jc w:val="center"/>
      <w:rPr>
        <w:noProof/>
        <w:sz w:val="13"/>
      </w:rPr>
    </w:pPr>
  </w:p>
  <w:p w:rsidR="001641D9" w:rsidRDefault="001641D9">
    <w:pPr>
      <w:pStyle w:val="Fuzeile"/>
    </w:pPr>
  </w:p>
  <w:p w:rsidR="001641D9" w:rsidRDefault="001641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D9" w:rsidRDefault="001641D9" w:rsidP="005A75CC">
    <w:pPr>
      <w:rPr>
        <w:noProof/>
        <w:sz w:val="13"/>
      </w:rPr>
    </w:pPr>
    <w:r>
      <w:rPr>
        <w:noProof/>
        <w:sz w:val="13"/>
      </w:rPr>
      <w:tab/>
    </w:r>
    <w:r>
      <w:rPr>
        <w:noProof/>
        <w:sz w:val="13"/>
      </w:rPr>
      <w:tab/>
    </w:r>
    <w:r>
      <w:rPr>
        <w:noProof/>
        <w:sz w:val="13"/>
      </w:rPr>
      <w:tab/>
    </w:r>
    <w:r>
      <w:rPr>
        <w:noProof/>
        <w:sz w:val="1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1D9" w:rsidRDefault="001641D9">
      <w:r>
        <w:separator/>
      </w:r>
    </w:p>
  </w:footnote>
  <w:footnote w:type="continuationSeparator" w:id="0">
    <w:p w:rsidR="001641D9" w:rsidRDefault="0016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5" w:type="dxa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51"/>
      <w:gridCol w:w="2364"/>
    </w:tblGrid>
    <w:tr w:rsidR="001641D9" w:rsidTr="00E323F9">
      <w:tc>
        <w:tcPr>
          <w:tcW w:w="7551" w:type="dxa"/>
        </w:tcPr>
        <w:p w:rsidR="001641D9" w:rsidRPr="006945E7" w:rsidRDefault="001E7D46" w:rsidP="006945E7">
          <w:pPr>
            <w:tabs>
              <w:tab w:val="right" w:pos="1814"/>
              <w:tab w:val="left" w:pos="4262"/>
            </w:tabs>
            <w:spacing w:before="660"/>
            <w:rPr>
              <w:b/>
              <w:sz w:val="28"/>
            </w:rPr>
          </w:pPr>
          <w:proofErr w:type="spellStart"/>
          <w:r>
            <w:rPr>
              <w:b/>
              <w:color w:val="7F7F7F" w:themeColor="text1" w:themeTint="80"/>
              <w:sz w:val="28"/>
            </w:rPr>
            <w:t>Synthèse</w:t>
          </w:r>
          <w:proofErr w:type="spellEnd"/>
        </w:p>
      </w:tc>
      <w:tc>
        <w:tcPr>
          <w:tcW w:w="2364" w:type="dxa"/>
        </w:tcPr>
        <w:p w:rsidR="001641D9" w:rsidRDefault="001641D9" w:rsidP="00634BC3">
          <w:pPr>
            <w:ind w:left="1050" w:right="-142"/>
          </w:pPr>
          <w:r w:rsidRPr="0061089D">
            <w:rPr>
              <w:noProof/>
            </w:rPr>
            <w:drawing>
              <wp:inline distT="0" distB="0" distL="0" distR="0" wp14:anchorId="7175B906" wp14:editId="4C481CE1">
                <wp:extent cx="900000" cy="900000"/>
                <wp:effectExtent l="0" t="0" r="0" b="0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tzlogo-standard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41D9" w:rsidRDefault="001641D9">
    <w:pPr>
      <w:spacing w:line="10" w:lineRule="exact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5" w:type="dxa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51"/>
      <w:gridCol w:w="2364"/>
    </w:tblGrid>
    <w:tr w:rsidR="001641D9" w:rsidTr="00E323F9">
      <w:tc>
        <w:tcPr>
          <w:tcW w:w="7551" w:type="dxa"/>
        </w:tcPr>
        <w:p w:rsidR="001641D9" w:rsidRPr="006945E7" w:rsidRDefault="004B5CDD" w:rsidP="00143319">
          <w:pPr>
            <w:tabs>
              <w:tab w:val="right" w:pos="1814"/>
            </w:tabs>
            <w:spacing w:before="600"/>
            <w:rPr>
              <w:noProof/>
              <w:color w:val="7F7F7F" w:themeColor="text1" w:themeTint="80"/>
              <w:sz w:val="28"/>
            </w:rPr>
          </w:pPr>
          <w:r>
            <w:rPr>
              <w:b/>
              <w:noProof/>
              <w:color w:val="7F7F7F" w:themeColor="text1" w:themeTint="80"/>
              <w:sz w:val="28"/>
            </w:rPr>
            <w:t>Synthèse</w:t>
          </w:r>
        </w:p>
      </w:tc>
      <w:tc>
        <w:tcPr>
          <w:tcW w:w="2364" w:type="dxa"/>
        </w:tcPr>
        <w:p w:rsidR="001641D9" w:rsidRDefault="001641D9" w:rsidP="00634BC3">
          <w:pPr>
            <w:ind w:left="1064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588CDC4" wp14:editId="6C4A8C80">
                <wp:extent cx="900000" cy="9000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tzlogo-standard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41D9" w:rsidRDefault="001641D9">
    <w:pPr>
      <w:tabs>
        <w:tab w:val="left" w:pos="3969"/>
        <w:tab w:val="left" w:pos="7700"/>
        <w:tab w:val="right" w:pos="8505"/>
      </w:tabs>
      <w:spacing w:line="10" w:lineRule="exac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B47"/>
    <w:multiLevelType w:val="hybridMultilevel"/>
    <w:tmpl w:val="DE9A5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547C"/>
    <w:multiLevelType w:val="hybridMultilevel"/>
    <w:tmpl w:val="B9F22E3A"/>
    <w:lvl w:ilvl="0" w:tplc="9F08A6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644"/>
    <w:multiLevelType w:val="hybridMultilevel"/>
    <w:tmpl w:val="CECADB0C"/>
    <w:lvl w:ilvl="0" w:tplc="1D688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707F2"/>
    <w:multiLevelType w:val="hybridMultilevel"/>
    <w:tmpl w:val="5210C2B8"/>
    <w:lvl w:ilvl="0" w:tplc="C17C2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7660F"/>
    <w:multiLevelType w:val="hybridMultilevel"/>
    <w:tmpl w:val="0FE4E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3075A"/>
    <w:multiLevelType w:val="hybridMultilevel"/>
    <w:tmpl w:val="BA7E0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2E5B"/>
    <w:multiLevelType w:val="hybridMultilevel"/>
    <w:tmpl w:val="4DAE6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775D9"/>
    <w:multiLevelType w:val="hybridMultilevel"/>
    <w:tmpl w:val="60480740"/>
    <w:lvl w:ilvl="0" w:tplc="1ACA3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A0E3F"/>
    <w:multiLevelType w:val="hybridMultilevel"/>
    <w:tmpl w:val="4896F8BC"/>
    <w:lvl w:ilvl="0" w:tplc="CCCA1A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5169"/>
    <w:multiLevelType w:val="hybridMultilevel"/>
    <w:tmpl w:val="CE923E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402B2"/>
    <w:multiLevelType w:val="hybridMultilevel"/>
    <w:tmpl w:val="2F8A21F2"/>
    <w:lvl w:ilvl="0" w:tplc="A1C8E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E4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61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E9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67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49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4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6C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C1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044360"/>
    <w:multiLevelType w:val="hybridMultilevel"/>
    <w:tmpl w:val="80F6D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13576"/>
    <w:multiLevelType w:val="hybridMultilevel"/>
    <w:tmpl w:val="E3501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A729E"/>
    <w:multiLevelType w:val="hybridMultilevel"/>
    <w:tmpl w:val="612437B4"/>
    <w:lvl w:ilvl="0" w:tplc="37C042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C65B4"/>
    <w:multiLevelType w:val="hybridMultilevel"/>
    <w:tmpl w:val="84DC67AC"/>
    <w:lvl w:ilvl="0" w:tplc="866A19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57772"/>
    <w:multiLevelType w:val="hybridMultilevel"/>
    <w:tmpl w:val="1FFEB1C2"/>
    <w:lvl w:ilvl="0" w:tplc="D9181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511501"/>
    <w:multiLevelType w:val="hybridMultilevel"/>
    <w:tmpl w:val="38F0A258"/>
    <w:lvl w:ilvl="0" w:tplc="42924A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1388B"/>
    <w:multiLevelType w:val="hybridMultilevel"/>
    <w:tmpl w:val="EDC8BDD6"/>
    <w:lvl w:ilvl="0" w:tplc="37C042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80465"/>
    <w:multiLevelType w:val="hybridMultilevel"/>
    <w:tmpl w:val="77BE1B9E"/>
    <w:lvl w:ilvl="0" w:tplc="C17C2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F41A6"/>
    <w:multiLevelType w:val="hybridMultilevel"/>
    <w:tmpl w:val="7FA6A3E8"/>
    <w:lvl w:ilvl="0" w:tplc="37C042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82129"/>
    <w:multiLevelType w:val="hybridMultilevel"/>
    <w:tmpl w:val="E02ED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0"/>
  </w:num>
  <w:num w:numId="5">
    <w:abstractNumId w:val="16"/>
  </w:num>
  <w:num w:numId="6">
    <w:abstractNumId w:val="13"/>
  </w:num>
  <w:num w:numId="7">
    <w:abstractNumId w:val="15"/>
  </w:num>
  <w:num w:numId="8">
    <w:abstractNumId w:val="17"/>
  </w:num>
  <w:num w:numId="9">
    <w:abstractNumId w:val="19"/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  <w:num w:numId="16">
    <w:abstractNumId w:val="10"/>
  </w:num>
  <w:num w:numId="17">
    <w:abstractNumId w:val="18"/>
  </w:num>
  <w:num w:numId="18">
    <w:abstractNumId w:val="4"/>
  </w:num>
  <w:num w:numId="19">
    <w:abstractNumId w:val="14"/>
  </w:num>
  <w:num w:numId="20">
    <w:abstractNumId w:val="2"/>
  </w:num>
  <w:num w:numId="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bdsvHelp" w:val="0"/>
    <w:docVar w:name="gbdsvKontaktBericht" w:val="0"/>
    <w:docVar w:name="gbdsvNewDocument" w:val="-1"/>
    <w:docVar w:name="gbdsvPrint" w:val="-1"/>
    <w:docVar w:name="gbdsvPrinterTray" w:val="0"/>
    <w:docVar w:name="gbdsvProtection" w:val="0"/>
    <w:docVar w:name="gbdsvSave" w:val="0"/>
    <w:docVar w:name="gbdsvTabelleKuerzen" w:val="0"/>
    <w:docVar w:name="gbdsvTopCall" w:val="0"/>
  </w:docVars>
  <w:rsids>
    <w:rsidRoot w:val="00983266"/>
    <w:rsid w:val="00004D3F"/>
    <w:rsid w:val="00005A8F"/>
    <w:rsid w:val="000066EA"/>
    <w:rsid w:val="0001277F"/>
    <w:rsid w:val="00013130"/>
    <w:rsid w:val="0002766C"/>
    <w:rsid w:val="00030ADF"/>
    <w:rsid w:val="00033AAC"/>
    <w:rsid w:val="00035C8A"/>
    <w:rsid w:val="000376A8"/>
    <w:rsid w:val="00044D6D"/>
    <w:rsid w:val="0005068E"/>
    <w:rsid w:val="000547B2"/>
    <w:rsid w:val="00056DE7"/>
    <w:rsid w:val="00056EB5"/>
    <w:rsid w:val="00060237"/>
    <w:rsid w:val="000656BA"/>
    <w:rsid w:val="00072BC7"/>
    <w:rsid w:val="000815AC"/>
    <w:rsid w:val="00090113"/>
    <w:rsid w:val="000A08D1"/>
    <w:rsid w:val="000A4884"/>
    <w:rsid w:val="000A5ADF"/>
    <w:rsid w:val="000A5CA1"/>
    <w:rsid w:val="000B0633"/>
    <w:rsid w:val="000B4AD6"/>
    <w:rsid w:val="000B4F46"/>
    <w:rsid w:val="000B56DB"/>
    <w:rsid w:val="000B7932"/>
    <w:rsid w:val="000C1453"/>
    <w:rsid w:val="000D3CC7"/>
    <w:rsid w:val="000E0463"/>
    <w:rsid w:val="000E4C8F"/>
    <w:rsid w:val="000E4D40"/>
    <w:rsid w:val="000F17B5"/>
    <w:rsid w:val="00100AC8"/>
    <w:rsid w:val="001038B9"/>
    <w:rsid w:val="001050F8"/>
    <w:rsid w:val="0011444A"/>
    <w:rsid w:val="001148AB"/>
    <w:rsid w:val="0011650D"/>
    <w:rsid w:val="00123B72"/>
    <w:rsid w:val="001253BB"/>
    <w:rsid w:val="00125674"/>
    <w:rsid w:val="0013228B"/>
    <w:rsid w:val="00143319"/>
    <w:rsid w:val="00150DD8"/>
    <w:rsid w:val="001537E4"/>
    <w:rsid w:val="00153D1D"/>
    <w:rsid w:val="00157549"/>
    <w:rsid w:val="00157890"/>
    <w:rsid w:val="001606C8"/>
    <w:rsid w:val="00163950"/>
    <w:rsid w:val="001641D9"/>
    <w:rsid w:val="00165653"/>
    <w:rsid w:val="00167F7C"/>
    <w:rsid w:val="0017180D"/>
    <w:rsid w:val="00171817"/>
    <w:rsid w:val="001720D9"/>
    <w:rsid w:val="00175D7D"/>
    <w:rsid w:val="00176339"/>
    <w:rsid w:val="00183CCB"/>
    <w:rsid w:val="00184C94"/>
    <w:rsid w:val="00185258"/>
    <w:rsid w:val="0018572F"/>
    <w:rsid w:val="001879A7"/>
    <w:rsid w:val="00197F21"/>
    <w:rsid w:val="00197FE3"/>
    <w:rsid w:val="001A25F0"/>
    <w:rsid w:val="001A4002"/>
    <w:rsid w:val="001A5550"/>
    <w:rsid w:val="001B31E0"/>
    <w:rsid w:val="001B7DCD"/>
    <w:rsid w:val="001C469A"/>
    <w:rsid w:val="001C5872"/>
    <w:rsid w:val="001D020E"/>
    <w:rsid w:val="001D26AD"/>
    <w:rsid w:val="001D410F"/>
    <w:rsid w:val="001E36FA"/>
    <w:rsid w:val="001E7D46"/>
    <w:rsid w:val="001F0748"/>
    <w:rsid w:val="001F1F22"/>
    <w:rsid w:val="001F64F0"/>
    <w:rsid w:val="001F76BA"/>
    <w:rsid w:val="002022ED"/>
    <w:rsid w:val="00203B25"/>
    <w:rsid w:val="0020777C"/>
    <w:rsid w:val="002149FA"/>
    <w:rsid w:val="00214A92"/>
    <w:rsid w:val="002164A7"/>
    <w:rsid w:val="00216EE5"/>
    <w:rsid w:val="00222947"/>
    <w:rsid w:val="00231537"/>
    <w:rsid w:val="002346C5"/>
    <w:rsid w:val="00234A95"/>
    <w:rsid w:val="00241829"/>
    <w:rsid w:val="002427B6"/>
    <w:rsid w:val="002429CD"/>
    <w:rsid w:val="00242EBF"/>
    <w:rsid w:val="00247124"/>
    <w:rsid w:val="00251A39"/>
    <w:rsid w:val="00252BBC"/>
    <w:rsid w:val="00253826"/>
    <w:rsid w:val="00253B6D"/>
    <w:rsid w:val="002576C0"/>
    <w:rsid w:val="002605E9"/>
    <w:rsid w:val="00260654"/>
    <w:rsid w:val="00261B4A"/>
    <w:rsid w:val="00263271"/>
    <w:rsid w:val="00270FDC"/>
    <w:rsid w:val="0027540D"/>
    <w:rsid w:val="00275464"/>
    <w:rsid w:val="00286F2E"/>
    <w:rsid w:val="002907AC"/>
    <w:rsid w:val="00296BBA"/>
    <w:rsid w:val="002A1FEC"/>
    <w:rsid w:val="002A49A2"/>
    <w:rsid w:val="002A5472"/>
    <w:rsid w:val="002A7543"/>
    <w:rsid w:val="002B155F"/>
    <w:rsid w:val="002B1EC1"/>
    <w:rsid w:val="002B2E85"/>
    <w:rsid w:val="002B41D8"/>
    <w:rsid w:val="002B5108"/>
    <w:rsid w:val="002B5504"/>
    <w:rsid w:val="002B5D5B"/>
    <w:rsid w:val="002C21DE"/>
    <w:rsid w:val="002C75E2"/>
    <w:rsid w:val="002D39BD"/>
    <w:rsid w:val="002D5486"/>
    <w:rsid w:val="002D6AA1"/>
    <w:rsid w:val="002E041E"/>
    <w:rsid w:val="002E7E81"/>
    <w:rsid w:val="002F06C0"/>
    <w:rsid w:val="002F79A5"/>
    <w:rsid w:val="002F7F3F"/>
    <w:rsid w:val="00300ED5"/>
    <w:rsid w:val="00303797"/>
    <w:rsid w:val="0031027A"/>
    <w:rsid w:val="003104B7"/>
    <w:rsid w:val="00312102"/>
    <w:rsid w:val="0031703D"/>
    <w:rsid w:val="00320126"/>
    <w:rsid w:val="00320EC3"/>
    <w:rsid w:val="00323483"/>
    <w:rsid w:val="00324FE4"/>
    <w:rsid w:val="00326DC9"/>
    <w:rsid w:val="00330A20"/>
    <w:rsid w:val="00337200"/>
    <w:rsid w:val="0034045F"/>
    <w:rsid w:val="00341177"/>
    <w:rsid w:val="003414AF"/>
    <w:rsid w:val="00342B21"/>
    <w:rsid w:val="003456DC"/>
    <w:rsid w:val="00346CE6"/>
    <w:rsid w:val="00350ECB"/>
    <w:rsid w:val="003521D0"/>
    <w:rsid w:val="00352602"/>
    <w:rsid w:val="00352713"/>
    <w:rsid w:val="0035786E"/>
    <w:rsid w:val="00360CDE"/>
    <w:rsid w:val="003655E7"/>
    <w:rsid w:val="003659C2"/>
    <w:rsid w:val="00373F47"/>
    <w:rsid w:val="003811A1"/>
    <w:rsid w:val="003863DA"/>
    <w:rsid w:val="00390C3C"/>
    <w:rsid w:val="00392904"/>
    <w:rsid w:val="003A1339"/>
    <w:rsid w:val="003A5545"/>
    <w:rsid w:val="003A5F4D"/>
    <w:rsid w:val="003B2866"/>
    <w:rsid w:val="003B6D6F"/>
    <w:rsid w:val="003B7B79"/>
    <w:rsid w:val="003C040D"/>
    <w:rsid w:val="003C4E4A"/>
    <w:rsid w:val="003C68FB"/>
    <w:rsid w:val="003C751F"/>
    <w:rsid w:val="003D029F"/>
    <w:rsid w:val="003D0B2C"/>
    <w:rsid w:val="003D1D9E"/>
    <w:rsid w:val="003E3BDC"/>
    <w:rsid w:val="003F0A34"/>
    <w:rsid w:val="003F396A"/>
    <w:rsid w:val="003F6E77"/>
    <w:rsid w:val="00405B86"/>
    <w:rsid w:val="0040687D"/>
    <w:rsid w:val="004104BB"/>
    <w:rsid w:val="0041332D"/>
    <w:rsid w:val="0041516B"/>
    <w:rsid w:val="004153BE"/>
    <w:rsid w:val="004155ED"/>
    <w:rsid w:val="004170D4"/>
    <w:rsid w:val="004173D3"/>
    <w:rsid w:val="0042289F"/>
    <w:rsid w:val="004264CB"/>
    <w:rsid w:val="00430002"/>
    <w:rsid w:val="00434777"/>
    <w:rsid w:val="00435B0E"/>
    <w:rsid w:val="00436C54"/>
    <w:rsid w:val="00440279"/>
    <w:rsid w:val="0044395E"/>
    <w:rsid w:val="00444071"/>
    <w:rsid w:val="004453BA"/>
    <w:rsid w:val="00450209"/>
    <w:rsid w:val="00456555"/>
    <w:rsid w:val="00470171"/>
    <w:rsid w:val="00471D71"/>
    <w:rsid w:val="00473EF9"/>
    <w:rsid w:val="00476531"/>
    <w:rsid w:val="004850C9"/>
    <w:rsid w:val="0048683A"/>
    <w:rsid w:val="00492904"/>
    <w:rsid w:val="004948AC"/>
    <w:rsid w:val="00495391"/>
    <w:rsid w:val="004A61A1"/>
    <w:rsid w:val="004A6D08"/>
    <w:rsid w:val="004B0822"/>
    <w:rsid w:val="004B2AA0"/>
    <w:rsid w:val="004B5CDD"/>
    <w:rsid w:val="004B5CFB"/>
    <w:rsid w:val="004C07CA"/>
    <w:rsid w:val="004C1265"/>
    <w:rsid w:val="004C1411"/>
    <w:rsid w:val="004C4BF8"/>
    <w:rsid w:val="004C7C4B"/>
    <w:rsid w:val="004D45DA"/>
    <w:rsid w:val="004D576C"/>
    <w:rsid w:val="004E74AB"/>
    <w:rsid w:val="004F53CF"/>
    <w:rsid w:val="004F670D"/>
    <w:rsid w:val="004F7D8C"/>
    <w:rsid w:val="00500DB1"/>
    <w:rsid w:val="005025E9"/>
    <w:rsid w:val="00503C00"/>
    <w:rsid w:val="0051125A"/>
    <w:rsid w:val="00511821"/>
    <w:rsid w:val="00513BDF"/>
    <w:rsid w:val="00513BFB"/>
    <w:rsid w:val="00516412"/>
    <w:rsid w:val="00521323"/>
    <w:rsid w:val="0052286C"/>
    <w:rsid w:val="00522FEF"/>
    <w:rsid w:val="005234B4"/>
    <w:rsid w:val="00523D95"/>
    <w:rsid w:val="00526CDE"/>
    <w:rsid w:val="00527024"/>
    <w:rsid w:val="00533815"/>
    <w:rsid w:val="00533F8A"/>
    <w:rsid w:val="0053509F"/>
    <w:rsid w:val="00540BB7"/>
    <w:rsid w:val="00544912"/>
    <w:rsid w:val="005459E8"/>
    <w:rsid w:val="00546B2F"/>
    <w:rsid w:val="0055061B"/>
    <w:rsid w:val="005533C7"/>
    <w:rsid w:val="005560AE"/>
    <w:rsid w:val="00557681"/>
    <w:rsid w:val="005623FC"/>
    <w:rsid w:val="005652C2"/>
    <w:rsid w:val="00567C0B"/>
    <w:rsid w:val="0057089F"/>
    <w:rsid w:val="00571D50"/>
    <w:rsid w:val="00572DAB"/>
    <w:rsid w:val="005771DC"/>
    <w:rsid w:val="00580FED"/>
    <w:rsid w:val="005837B4"/>
    <w:rsid w:val="00587EA2"/>
    <w:rsid w:val="00591C73"/>
    <w:rsid w:val="005A0F6E"/>
    <w:rsid w:val="005A4CC4"/>
    <w:rsid w:val="005A6615"/>
    <w:rsid w:val="005A75CC"/>
    <w:rsid w:val="005A7B8C"/>
    <w:rsid w:val="005B227A"/>
    <w:rsid w:val="005C1350"/>
    <w:rsid w:val="005C433E"/>
    <w:rsid w:val="005C5A8E"/>
    <w:rsid w:val="005C7568"/>
    <w:rsid w:val="005E7AD2"/>
    <w:rsid w:val="005F272B"/>
    <w:rsid w:val="005F55D6"/>
    <w:rsid w:val="005F561D"/>
    <w:rsid w:val="005F7B38"/>
    <w:rsid w:val="00600211"/>
    <w:rsid w:val="00601D88"/>
    <w:rsid w:val="00602434"/>
    <w:rsid w:val="00604926"/>
    <w:rsid w:val="00605621"/>
    <w:rsid w:val="0061089D"/>
    <w:rsid w:val="00613E8F"/>
    <w:rsid w:val="006155FD"/>
    <w:rsid w:val="00623D22"/>
    <w:rsid w:val="00626C14"/>
    <w:rsid w:val="00630D7B"/>
    <w:rsid w:val="00631AEC"/>
    <w:rsid w:val="00632143"/>
    <w:rsid w:val="00634BC3"/>
    <w:rsid w:val="00637348"/>
    <w:rsid w:val="006404A4"/>
    <w:rsid w:val="00641178"/>
    <w:rsid w:val="00641A5B"/>
    <w:rsid w:val="006450B4"/>
    <w:rsid w:val="006451F1"/>
    <w:rsid w:val="0065485A"/>
    <w:rsid w:val="00660F21"/>
    <w:rsid w:val="0066273D"/>
    <w:rsid w:val="00662D5F"/>
    <w:rsid w:val="00662F03"/>
    <w:rsid w:val="00662FF3"/>
    <w:rsid w:val="00665AD9"/>
    <w:rsid w:val="00666501"/>
    <w:rsid w:val="00671775"/>
    <w:rsid w:val="00672030"/>
    <w:rsid w:val="00672CED"/>
    <w:rsid w:val="00673724"/>
    <w:rsid w:val="006755E7"/>
    <w:rsid w:val="00677CD0"/>
    <w:rsid w:val="00682A03"/>
    <w:rsid w:val="0068447D"/>
    <w:rsid w:val="00687786"/>
    <w:rsid w:val="00693459"/>
    <w:rsid w:val="006936DF"/>
    <w:rsid w:val="0069406A"/>
    <w:rsid w:val="006945E7"/>
    <w:rsid w:val="006A06E6"/>
    <w:rsid w:val="006A0B0E"/>
    <w:rsid w:val="006A2592"/>
    <w:rsid w:val="006A44B3"/>
    <w:rsid w:val="006B1D78"/>
    <w:rsid w:val="006B53A4"/>
    <w:rsid w:val="006B5E52"/>
    <w:rsid w:val="006C32C9"/>
    <w:rsid w:val="006C3973"/>
    <w:rsid w:val="006C4B61"/>
    <w:rsid w:val="006D20C9"/>
    <w:rsid w:val="006D2425"/>
    <w:rsid w:val="006D3276"/>
    <w:rsid w:val="006D40AF"/>
    <w:rsid w:val="006D7CE5"/>
    <w:rsid w:val="006E2225"/>
    <w:rsid w:val="006E742C"/>
    <w:rsid w:val="006F3DA4"/>
    <w:rsid w:val="00705286"/>
    <w:rsid w:val="00711AF5"/>
    <w:rsid w:val="00720316"/>
    <w:rsid w:val="00724EC9"/>
    <w:rsid w:val="00726CA3"/>
    <w:rsid w:val="00734CD5"/>
    <w:rsid w:val="00747987"/>
    <w:rsid w:val="00747A66"/>
    <w:rsid w:val="00750FB6"/>
    <w:rsid w:val="00753D4B"/>
    <w:rsid w:val="00755D29"/>
    <w:rsid w:val="00764610"/>
    <w:rsid w:val="00764FDB"/>
    <w:rsid w:val="0076644A"/>
    <w:rsid w:val="00770821"/>
    <w:rsid w:val="007744D0"/>
    <w:rsid w:val="00776132"/>
    <w:rsid w:val="00776D99"/>
    <w:rsid w:val="00777F5C"/>
    <w:rsid w:val="007860AF"/>
    <w:rsid w:val="00790FE6"/>
    <w:rsid w:val="00796555"/>
    <w:rsid w:val="007972CB"/>
    <w:rsid w:val="007978FF"/>
    <w:rsid w:val="007A0B09"/>
    <w:rsid w:val="007A71C7"/>
    <w:rsid w:val="007A733A"/>
    <w:rsid w:val="007B1B49"/>
    <w:rsid w:val="007B4383"/>
    <w:rsid w:val="007C6934"/>
    <w:rsid w:val="007D1245"/>
    <w:rsid w:val="007E0640"/>
    <w:rsid w:val="007E0A33"/>
    <w:rsid w:val="007E339C"/>
    <w:rsid w:val="007E6A26"/>
    <w:rsid w:val="007E7549"/>
    <w:rsid w:val="007E79E2"/>
    <w:rsid w:val="007F36B9"/>
    <w:rsid w:val="00800618"/>
    <w:rsid w:val="00805B5C"/>
    <w:rsid w:val="00807B4F"/>
    <w:rsid w:val="00830CA9"/>
    <w:rsid w:val="00832A74"/>
    <w:rsid w:val="008424D3"/>
    <w:rsid w:val="00843E83"/>
    <w:rsid w:val="00847A14"/>
    <w:rsid w:val="0085017B"/>
    <w:rsid w:val="00855DC1"/>
    <w:rsid w:val="0085649F"/>
    <w:rsid w:val="008568BF"/>
    <w:rsid w:val="00856D8F"/>
    <w:rsid w:val="0086125E"/>
    <w:rsid w:val="00863731"/>
    <w:rsid w:val="008652A4"/>
    <w:rsid w:val="0087452A"/>
    <w:rsid w:val="00875FE9"/>
    <w:rsid w:val="00876583"/>
    <w:rsid w:val="008804C3"/>
    <w:rsid w:val="00882D5A"/>
    <w:rsid w:val="00883617"/>
    <w:rsid w:val="00885756"/>
    <w:rsid w:val="0088580C"/>
    <w:rsid w:val="00887107"/>
    <w:rsid w:val="00887967"/>
    <w:rsid w:val="0089148B"/>
    <w:rsid w:val="00891C77"/>
    <w:rsid w:val="00892263"/>
    <w:rsid w:val="00893165"/>
    <w:rsid w:val="00896439"/>
    <w:rsid w:val="008A410A"/>
    <w:rsid w:val="008A671F"/>
    <w:rsid w:val="008B1B76"/>
    <w:rsid w:val="008B346A"/>
    <w:rsid w:val="008C2AF9"/>
    <w:rsid w:val="008C3547"/>
    <w:rsid w:val="008C3C9C"/>
    <w:rsid w:val="008C47F8"/>
    <w:rsid w:val="008C522B"/>
    <w:rsid w:val="008C5343"/>
    <w:rsid w:val="008C583E"/>
    <w:rsid w:val="008D052D"/>
    <w:rsid w:val="008D5D2E"/>
    <w:rsid w:val="008D7AA3"/>
    <w:rsid w:val="008E6278"/>
    <w:rsid w:val="008F0F6E"/>
    <w:rsid w:val="008F2309"/>
    <w:rsid w:val="008F3F51"/>
    <w:rsid w:val="008F686C"/>
    <w:rsid w:val="008F6BA5"/>
    <w:rsid w:val="00900699"/>
    <w:rsid w:val="00900831"/>
    <w:rsid w:val="00901E0F"/>
    <w:rsid w:val="00903B71"/>
    <w:rsid w:val="00903C87"/>
    <w:rsid w:val="00903D1B"/>
    <w:rsid w:val="00904490"/>
    <w:rsid w:val="009071C3"/>
    <w:rsid w:val="00907A4E"/>
    <w:rsid w:val="00912B5C"/>
    <w:rsid w:val="00914148"/>
    <w:rsid w:val="009173FA"/>
    <w:rsid w:val="00921C57"/>
    <w:rsid w:val="00921DF1"/>
    <w:rsid w:val="00924C82"/>
    <w:rsid w:val="00924E8F"/>
    <w:rsid w:val="0092632B"/>
    <w:rsid w:val="00941B33"/>
    <w:rsid w:val="00942897"/>
    <w:rsid w:val="009459D5"/>
    <w:rsid w:val="009474D4"/>
    <w:rsid w:val="00950D50"/>
    <w:rsid w:val="00950F58"/>
    <w:rsid w:val="00953029"/>
    <w:rsid w:val="00955448"/>
    <w:rsid w:val="00956488"/>
    <w:rsid w:val="00961AFD"/>
    <w:rsid w:val="00961D03"/>
    <w:rsid w:val="009627B2"/>
    <w:rsid w:val="00966562"/>
    <w:rsid w:val="0097478A"/>
    <w:rsid w:val="00975F15"/>
    <w:rsid w:val="009773AF"/>
    <w:rsid w:val="00983266"/>
    <w:rsid w:val="0099540B"/>
    <w:rsid w:val="00996D5D"/>
    <w:rsid w:val="009A0E61"/>
    <w:rsid w:val="009A0F30"/>
    <w:rsid w:val="009A11C2"/>
    <w:rsid w:val="009A29B4"/>
    <w:rsid w:val="009A57C7"/>
    <w:rsid w:val="009A6196"/>
    <w:rsid w:val="009A6376"/>
    <w:rsid w:val="009A7E94"/>
    <w:rsid w:val="009B2490"/>
    <w:rsid w:val="009B63A9"/>
    <w:rsid w:val="009B6844"/>
    <w:rsid w:val="009C1CBF"/>
    <w:rsid w:val="009C4884"/>
    <w:rsid w:val="009C4970"/>
    <w:rsid w:val="009C4F2F"/>
    <w:rsid w:val="009D48AD"/>
    <w:rsid w:val="009D7AD4"/>
    <w:rsid w:val="009E5581"/>
    <w:rsid w:val="009E6BF6"/>
    <w:rsid w:val="009F0796"/>
    <w:rsid w:val="009F693B"/>
    <w:rsid w:val="00A016C8"/>
    <w:rsid w:val="00A04450"/>
    <w:rsid w:val="00A0537A"/>
    <w:rsid w:val="00A14D55"/>
    <w:rsid w:val="00A154A7"/>
    <w:rsid w:val="00A20F2E"/>
    <w:rsid w:val="00A23C12"/>
    <w:rsid w:val="00A32E47"/>
    <w:rsid w:val="00A34BEE"/>
    <w:rsid w:val="00A37227"/>
    <w:rsid w:val="00A41E17"/>
    <w:rsid w:val="00A43C4E"/>
    <w:rsid w:val="00A44FDA"/>
    <w:rsid w:val="00A530BD"/>
    <w:rsid w:val="00A5456E"/>
    <w:rsid w:val="00A57C1B"/>
    <w:rsid w:val="00A60049"/>
    <w:rsid w:val="00A651BE"/>
    <w:rsid w:val="00A65483"/>
    <w:rsid w:val="00A716C9"/>
    <w:rsid w:val="00A741FF"/>
    <w:rsid w:val="00A744FF"/>
    <w:rsid w:val="00A77774"/>
    <w:rsid w:val="00A843E7"/>
    <w:rsid w:val="00A8672A"/>
    <w:rsid w:val="00A9203C"/>
    <w:rsid w:val="00A94471"/>
    <w:rsid w:val="00A94CCE"/>
    <w:rsid w:val="00AA181F"/>
    <w:rsid w:val="00AA3B85"/>
    <w:rsid w:val="00AA6090"/>
    <w:rsid w:val="00AA77A8"/>
    <w:rsid w:val="00AB245C"/>
    <w:rsid w:val="00AB2FE0"/>
    <w:rsid w:val="00AB3ECF"/>
    <w:rsid w:val="00AB51FD"/>
    <w:rsid w:val="00AB5873"/>
    <w:rsid w:val="00AB654C"/>
    <w:rsid w:val="00AC0754"/>
    <w:rsid w:val="00AC30C4"/>
    <w:rsid w:val="00AC4F75"/>
    <w:rsid w:val="00AC7205"/>
    <w:rsid w:val="00AD17C0"/>
    <w:rsid w:val="00AD4D31"/>
    <w:rsid w:val="00AD5791"/>
    <w:rsid w:val="00AD78C7"/>
    <w:rsid w:val="00AE3C3B"/>
    <w:rsid w:val="00AE5366"/>
    <w:rsid w:val="00AF08EB"/>
    <w:rsid w:val="00AF42C2"/>
    <w:rsid w:val="00AF5657"/>
    <w:rsid w:val="00AF628B"/>
    <w:rsid w:val="00B014F6"/>
    <w:rsid w:val="00B0581C"/>
    <w:rsid w:val="00B066E7"/>
    <w:rsid w:val="00B10343"/>
    <w:rsid w:val="00B11904"/>
    <w:rsid w:val="00B15144"/>
    <w:rsid w:val="00B16FFE"/>
    <w:rsid w:val="00B22AA3"/>
    <w:rsid w:val="00B249FD"/>
    <w:rsid w:val="00B25C99"/>
    <w:rsid w:val="00B26CB2"/>
    <w:rsid w:val="00B27148"/>
    <w:rsid w:val="00B334FA"/>
    <w:rsid w:val="00B355D9"/>
    <w:rsid w:val="00B35ABE"/>
    <w:rsid w:val="00B40E22"/>
    <w:rsid w:val="00B4106D"/>
    <w:rsid w:val="00B501EF"/>
    <w:rsid w:val="00B5266E"/>
    <w:rsid w:val="00B53216"/>
    <w:rsid w:val="00B6014A"/>
    <w:rsid w:val="00B60F1C"/>
    <w:rsid w:val="00B621D3"/>
    <w:rsid w:val="00B70F62"/>
    <w:rsid w:val="00B7118B"/>
    <w:rsid w:val="00B71451"/>
    <w:rsid w:val="00B730F2"/>
    <w:rsid w:val="00B82693"/>
    <w:rsid w:val="00B8494E"/>
    <w:rsid w:val="00B86CC5"/>
    <w:rsid w:val="00B92B9F"/>
    <w:rsid w:val="00B94B02"/>
    <w:rsid w:val="00B97B95"/>
    <w:rsid w:val="00BA18CF"/>
    <w:rsid w:val="00BA1FD5"/>
    <w:rsid w:val="00BA7803"/>
    <w:rsid w:val="00BA7B89"/>
    <w:rsid w:val="00BB2AE9"/>
    <w:rsid w:val="00BB330A"/>
    <w:rsid w:val="00BB3780"/>
    <w:rsid w:val="00BC4615"/>
    <w:rsid w:val="00BC70E2"/>
    <w:rsid w:val="00BD58B4"/>
    <w:rsid w:val="00BE233C"/>
    <w:rsid w:val="00BE297D"/>
    <w:rsid w:val="00BE3744"/>
    <w:rsid w:val="00BE5893"/>
    <w:rsid w:val="00BE6D37"/>
    <w:rsid w:val="00BE7AAF"/>
    <w:rsid w:val="00BE7D5C"/>
    <w:rsid w:val="00BF5E07"/>
    <w:rsid w:val="00BF6E8C"/>
    <w:rsid w:val="00C024C0"/>
    <w:rsid w:val="00C03E45"/>
    <w:rsid w:val="00C057B1"/>
    <w:rsid w:val="00C0637D"/>
    <w:rsid w:val="00C07155"/>
    <w:rsid w:val="00C07CAE"/>
    <w:rsid w:val="00C150F0"/>
    <w:rsid w:val="00C17B03"/>
    <w:rsid w:val="00C24666"/>
    <w:rsid w:val="00C26BDC"/>
    <w:rsid w:val="00C27AC0"/>
    <w:rsid w:val="00C32ABD"/>
    <w:rsid w:val="00C342A6"/>
    <w:rsid w:val="00C36613"/>
    <w:rsid w:val="00C40C35"/>
    <w:rsid w:val="00C4644D"/>
    <w:rsid w:val="00C468BB"/>
    <w:rsid w:val="00C5009B"/>
    <w:rsid w:val="00C52FA1"/>
    <w:rsid w:val="00C546BB"/>
    <w:rsid w:val="00C56CC3"/>
    <w:rsid w:val="00C56F9D"/>
    <w:rsid w:val="00C60066"/>
    <w:rsid w:val="00C6092D"/>
    <w:rsid w:val="00C620BD"/>
    <w:rsid w:val="00C62C78"/>
    <w:rsid w:val="00C651CD"/>
    <w:rsid w:val="00C6541E"/>
    <w:rsid w:val="00C70E49"/>
    <w:rsid w:val="00C8137B"/>
    <w:rsid w:val="00C82F7A"/>
    <w:rsid w:val="00C86E18"/>
    <w:rsid w:val="00C86E46"/>
    <w:rsid w:val="00C90D96"/>
    <w:rsid w:val="00C92587"/>
    <w:rsid w:val="00C9312F"/>
    <w:rsid w:val="00C9650E"/>
    <w:rsid w:val="00CA2DBD"/>
    <w:rsid w:val="00CA3D2A"/>
    <w:rsid w:val="00CA41AB"/>
    <w:rsid w:val="00CA7C6C"/>
    <w:rsid w:val="00CB1D64"/>
    <w:rsid w:val="00CB1FD4"/>
    <w:rsid w:val="00CB4A95"/>
    <w:rsid w:val="00CB6E39"/>
    <w:rsid w:val="00CB7F2C"/>
    <w:rsid w:val="00CC2998"/>
    <w:rsid w:val="00CC4AAD"/>
    <w:rsid w:val="00CC5C70"/>
    <w:rsid w:val="00CC6C6E"/>
    <w:rsid w:val="00CD24DE"/>
    <w:rsid w:val="00CD2A2B"/>
    <w:rsid w:val="00CD6FB4"/>
    <w:rsid w:val="00CE09FD"/>
    <w:rsid w:val="00CE3791"/>
    <w:rsid w:val="00CE424D"/>
    <w:rsid w:val="00CE5768"/>
    <w:rsid w:val="00CE64C0"/>
    <w:rsid w:val="00CE76A4"/>
    <w:rsid w:val="00CF0C54"/>
    <w:rsid w:val="00CF1CEC"/>
    <w:rsid w:val="00CF1EAC"/>
    <w:rsid w:val="00CF66DD"/>
    <w:rsid w:val="00CF75EA"/>
    <w:rsid w:val="00CF7E9C"/>
    <w:rsid w:val="00CF7F11"/>
    <w:rsid w:val="00D0150F"/>
    <w:rsid w:val="00D01C0A"/>
    <w:rsid w:val="00D047E2"/>
    <w:rsid w:val="00D051ED"/>
    <w:rsid w:val="00D072C2"/>
    <w:rsid w:val="00D1033A"/>
    <w:rsid w:val="00D133D9"/>
    <w:rsid w:val="00D23394"/>
    <w:rsid w:val="00D26ED3"/>
    <w:rsid w:val="00D33D16"/>
    <w:rsid w:val="00D36B0F"/>
    <w:rsid w:val="00D40A3C"/>
    <w:rsid w:val="00D413CC"/>
    <w:rsid w:val="00D4359B"/>
    <w:rsid w:val="00D45243"/>
    <w:rsid w:val="00D50446"/>
    <w:rsid w:val="00D549BF"/>
    <w:rsid w:val="00D604AC"/>
    <w:rsid w:val="00D613C4"/>
    <w:rsid w:val="00D628D3"/>
    <w:rsid w:val="00D63FB9"/>
    <w:rsid w:val="00D66DE8"/>
    <w:rsid w:val="00D70532"/>
    <w:rsid w:val="00D73949"/>
    <w:rsid w:val="00D743CB"/>
    <w:rsid w:val="00D7451C"/>
    <w:rsid w:val="00D81F0B"/>
    <w:rsid w:val="00D8259E"/>
    <w:rsid w:val="00D82755"/>
    <w:rsid w:val="00D82B2E"/>
    <w:rsid w:val="00D84ECB"/>
    <w:rsid w:val="00DA5531"/>
    <w:rsid w:val="00DB0984"/>
    <w:rsid w:val="00DB0DBF"/>
    <w:rsid w:val="00DB2713"/>
    <w:rsid w:val="00DB439F"/>
    <w:rsid w:val="00DC35E8"/>
    <w:rsid w:val="00DC7262"/>
    <w:rsid w:val="00DD34CF"/>
    <w:rsid w:val="00DD7AB7"/>
    <w:rsid w:val="00DE4D71"/>
    <w:rsid w:val="00E00E17"/>
    <w:rsid w:val="00E01962"/>
    <w:rsid w:val="00E1394A"/>
    <w:rsid w:val="00E21F48"/>
    <w:rsid w:val="00E22A8B"/>
    <w:rsid w:val="00E23FC1"/>
    <w:rsid w:val="00E263DE"/>
    <w:rsid w:val="00E26BFC"/>
    <w:rsid w:val="00E312EC"/>
    <w:rsid w:val="00E323F9"/>
    <w:rsid w:val="00E47D09"/>
    <w:rsid w:val="00E51C9C"/>
    <w:rsid w:val="00E5238D"/>
    <w:rsid w:val="00E529AE"/>
    <w:rsid w:val="00E53851"/>
    <w:rsid w:val="00E6236C"/>
    <w:rsid w:val="00E62C99"/>
    <w:rsid w:val="00E631E2"/>
    <w:rsid w:val="00E65FDD"/>
    <w:rsid w:val="00E70486"/>
    <w:rsid w:val="00E70C0C"/>
    <w:rsid w:val="00E75937"/>
    <w:rsid w:val="00E77AF4"/>
    <w:rsid w:val="00E77D15"/>
    <w:rsid w:val="00E82345"/>
    <w:rsid w:val="00E82B96"/>
    <w:rsid w:val="00E90ABA"/>
    <w:rsid w:val="00E91260"/>
    <w:rsid w:val="00E92C62"/>
    <w:rsid w:val="00E93AE3"/>
    <w:rsid w:val="00EA201F"/>
    <w:rsid w:val="00EA260E"/>
    <w:rsid w:val="00EA3274"/>
    <w:rsid w:val="00EA5B3D"/>
    <w:rsid w:val="00EA5CCD"/>
    <w:rsid w:val="00EA6DD2"/>
    <w:rsid w:val="00EB2C65"/>
    <w:rsid w:val="00EB74A6"/>
    <w:rsid w:val="00EC0C52"/>
    <w:rsid w:val="00EC0D32"/>
    <w:rsid w:val="00EC3460"/>
    <w:rsid w:val="00EC4826"/>
    <w:rsid w:val="00EC6A4B"/>
    <w:rsid w:val="00ED1953"/>
    <w:rsid w:val="00ED5770"/>
    <w:rsid w:val="00EE1712"/>
    <w:rsid w:val="00EE2638"/>
    <w:rsid w:val="00EE6EB2"/>
    <w:rsid w:val="00EE7D0D"/>
    <w:rsid w:val="00EF305C"/>
    <w:rsid w:val="00EF6FEA"/>
    <w:rsid w:val="00EF70D4"/>
    <w:rsid w:val="00F17CBA"/>
    <w:rsid w:val="00F203AC"/>
    <w:rsid w:val="00F257CC"/>
    <w:rsid w:val="00F32476"/>
    <w:rsid w:val="00F417EA"/>
    <w:rsid w:val="00F43948"/>
    <w:rsid w:val="00F46A08"/>
    <w:rsid w:val="00F55494"/>
    <w:rsid w:val="00F61A08"/>
    <w:rsid w:val="00F64F62"/>
    <w:rsid w:val="00F67926"/>
    <w:rsid w:val="00F746E7"/>
    <w:rsid w:val="00F75EB5"/>
    <w:rsid w:val="00F8064C"/>
    <w:rsid w:val="00F80B0A"/>
    <w:rsid w:val="00F82401"/>
    <w:rsid w:val="00F85C3E"/>
    <w:rsid w:val="00F91AB9"/>
    <w:rsid w:val="00F9618E"/>
    <w:rsid w:val="00FA1B07"/>
    <w:rsid w:val="00FA1E8D"/>
    <w:rsid w:val="00FA6D68"/>
    <w:rsid w:val="00FB065A"/>
    <w:rsid w:val="00FB0A54"/>
    <w:rsid w:val="00FB1554"/>
    <w:rsid w:val="00FB4012"/>
    <w:rsid w:val="00FB55D8"/>
    <w:rsid w:val="00FB6EDA"/>
    <w:rsid w:val="00FB7794"/>
    <w:rsid w:val="00FB7B92"/>
    <w:rsid w:val="00FC0174"/>
    <w:rsid w:val="00FC04EC"/>
    <w:rsid w:val="00FC6879"/>
    <w:rsid w:val="00FC6FC0"/>
    <w:rsid w:val="00FD4BAD"/>
    <w:rsid w:val="00FE3F80"/>
    <w:rsid w:val="00FE4B8B"/>
    <w:rsid w:val="00FE6138"/>
    <w:rsid w:val="00FF3CDE"/>
    <w:rsid w:val="00FF44D2"/>
    <w:rsid w:val="00FF591D"/>
    <w:rsid w:val="00FF76D5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625B7C7A-0396-42EB-8EAF-99F4A49B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23B7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23B72"/>
    <w:p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123B72"/>
    <w:pPr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123B72"/>
    <w:pPr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123B7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rsid w:val="00123B7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rsid w:val="00123B72"/>
    <w:pPr>
      <w:tabs>
        <w:tab w:val="left" w:pos="567"/>
        <w:tab w:val="left" w:pos="1134"/>
        <w:tab w:val="left" w:pos="1701"/>
      </w:tabs>
      <w:ind w:left="1701" w:hanging="567"/>
    </w:pPr>
  </w:style>
  <w:style w:type="paragraph" w:customStyle="1" w:styleId="DatEinrckung">
    <w:name w:val="Dat.Einrückung"/>
    <w:basedOn w:val="Standard"/>
    <w:rsid w:val="00123B72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rsid w:val="00123B7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123B72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rsid w:val="00123B72"/>
    <w:pPr>
      <w:ind w:left="708"/>
    </w:pPr>
  </w:style>
  <w:style w:type="paragraph" w:customStyle="1" w:styleId="TOP">
    <w:name w:val="TOP"/>
    <w:basedOn w:val="Standard"/>
    <w:next w:val="Standard"/>
    <w:rsid w:val="002605E9"/>
    <w:pPr>
      <w:spacing w:before="250"/>
      <w:ind w:left="851" w:hanging="851"/>
    </w:pPr>
    <w:rPr>
      <w:b/>
      <w:szCs w:val="22"/>
    </w:rPr>
  </w:style>
  <w:style w:type="paragraph" w:styleId="Sprechblasentext">
    <w:name w:val="Balloon Text"/>
    <w:basedOn w:val="Standard"/>
    <w:link w:val="SprechblasentextZchn"/>
    <w:rsid w:val="009A63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637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nhideWhenUsed/>
    <w:rsid w:val="00983266"/>
  </w:style>
  <w:style w:type="paragraph" w:styleId="Listenabsatz">
    <w:name w:val="List Paragraph"/>
    <w:basedOn w:val="Standard"/>
    <w:uiPriority w:val="34"/>
    <w:qFormat/>
    <w:rsid w:val="00983266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ervorhebung">
    <w:name w:val="Emphasis"/>
    <w:basedOn w:val="Absatz-Standardschriftart"/>
    <w:qFormat/>
    <w:rsid w:val="002A49A2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B0581C"/>
    <w:rPr>
      <w:rFonts w:eastAsiaTheme="minorHAnsi" w:cstheme="minorBidi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0581C"/>
    <w:rPr>
      <w:rFonts w:ascii="Arial" w:eastAsiaTheme="minorHAnsi" w:hAnsi="Arial" w:cstheme="minorBidi"/>
      <w:szCs w:val="21"/>
    </w:rPr>
  </w:style>
  <w:style w:type="character" w:styleId="Hyperlink">
    <w:name w:val="Hyperlink"/>
    <w:basedOn w:val="Absatz-Standardschriftart"/>
    <w:rsid w:val="00F91AB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C620BD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50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B7B9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Kommentarzeichen">
    <w:name w:val="annotation reference"/>
    <w:basedOn w:val="Absatz-Standardschriftart"/>
    <w:rsid w:val="001F64F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F64F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F64F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F64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F64F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1641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9879">
          <w:marLeft w:val="547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495B-B688-4EA8-AA8E-A16A007A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4564</Characters>
  <Application>Microsoft Office Word</Application>
  <DocSecurity>4</DocSecurity>
  <Lines>99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Gesellschaft für Internationale Zusammenarbeit (GIZ) GmbH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</dc:creator>
  <cp:keywords>Besprechungsberichtsvorlage</cp:keywords>
  <cp:lastModifiedBy>Boateng, Tabea GIZ</cp:lastModifiedBy>
  <cp:revision>2</cp:revision>
  <cp:lastPrinted>2016-07-11T09:05:00Z</cp:lastPrinted>
  <dcterms:created xsi:type="dcterms:W3CDTF">2020-07-27T11:31:00Z</dcterms:created>
  <dcterms:modified xsi:type="dcterms:W3CDTF">2020-07-27T11:31:00Z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0x010100FA98529EE743D04A8C3D54BEB25F8048</vt:lpwstr>
  </property>
</Properties>
</file>