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4961"/>
      </w:tblGrid>
      <w:tr w:rsidR="00810A1A" w:rsidTr="00810A1A">
        <w:tc>
          <w:tcPr>
            <w:tcW w:w="3681" w:type="dxa"/>
            <w:shd w:val="clear" w:color="auto" w:fill="006666"/>
          </w:tcPr>
          <w:p w:rsidR="00810A1A" w:rsidRPr="00BD6656" w:rsidRDefault="00810A1A" w:rsidP="00BD6656">
            <w:pPr>
              <w:jc w:val="center"/>
              <w:rPr>
                <w:b/>
                <w:color w:val="FFFFFF" w:themeColor="background1"/>
                <w:sz w:val="22"/>
              </w:rPr>
            </w:pPr>
            <w:bookmarkStart w:id="0" w:name="_GoBack" w:colFirst="0" w:colLast="0"/>
            <w:r w:rsidRPr="00BD6656">
              <w:rPr>
                <w:b/>
                <w:color w:val="FFFFFF" w:themeColor="background1"/>
                <w:sz w:val="22"/>
              </w:rPr>
              <w:t>English</w:t>
            </w:r>
          </w:p>
        </w:tc>
        <w:tc>
          <w:tcPr>
            <w:tcW w:w="4961" w:type="dxa"/>
            <w:shd w:val="clear" w:color="auto" w:fill="006666"/>
          </w:tcPr>
          <w:p w:rsidR="00810A1A" w:rsidRPr="00BD6656" w:rsidRDefault="00810A1A" w:rsidP="00BD6656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D6656">
              <w:rPr>
                <w:b/>
                <w:color w:val="FFFFFF" w:themeColor="background1"/>
                <w:sz w:val="22"/>
              </w:rPr>
              <w:t>French</w:t>
            </w:r>
          </w:p>
        </w:tc>
      </w:tr>
      <w:tr w:rsidR="00810A1A" w:rsidRPr="00BD6656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r>
              <w:t xml:space="preserve">Universal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Coverage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6F7F9F" w:rsidRDefault="00810A1A" w:rsidP="00BD6656">
            <w:pPr>
              <w:jc w:val="center"/>
              <w:rPr>
                <w:lang w:val="fr-FR"/>
              </w:rPr>
            </w:pPr>
            <w:r w:rsidRPr="006F7F9F">
              <w:rPr>
                <w:lang w:val="fr-FR"/>
              </w:rPr>
              <w:t>La couverture universelle de santé</w:t>
            </w:r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r>
              <w:t xml:space="preserve">Universal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r>
              <w:t xml:space="preserve">La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universelle</w:t>
            </w:r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r>
              <w:t xml:space="preserve">La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r>
              <w:t xml:space="preserve">Universal </w:t>
            </w:r>
            <w:proofErr w:type="spellStart"/>
            <w:r>
              <w:t>Coverage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r>
              <w:t xml:space="preserve">La </w:t>
            </w:r>
            <w:proofErr w:type="spellStart"/>
            <w:r>
              <w:t>Couverture</w:t>
            </w:r>
            <w:proofErr w:type="spellEnd"/>
            <w:r>
              <w:t xml:space="preserve"> Universelle</w:t>
            </w:r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r>
              <w:t>Provider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r>
              <w:t xml:space="preserve">Le </w:t>
            </w:r>
            <w:proofErr w:type="spellStart"/>
            <w:r>
              <w:t>Prestataire</w:t>
            </w:r>
            <w:proofErr w:type="spellEnd"/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proofErr w:type="spellStart"/>
            <w:r>
              <w:t>Beneficiary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r>
              <w:t xml:space="preserve">Le </w:t>
            </w:r>
            <w:proofErr w:type="spellStart"/>
            <w:r>
              <w:t>bénéficiaire</w:t>
            </w:r>
            <w:proofErr w:type="spellEnd"/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proofErr w:type="spellStart"/>
            <w:r>
              <w:t>Direct</w:t>
            </w:r>
            <w:proofErr w:type="spellEnd"/>
            <w:r>
              <w:t xml:space="preserve"> </w:t>
            </w:r>
            <w:proofErr w:type="spellStart"/>
            <w:r>
              <w:t>Payments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proofErr w:type="spellStart"/>
            <w:r>
              <w:t>Paiements</w:t>
            </w:r>
            <w:proofErr w:type="spellEnd"/>
            <w:r>
              <w:t xml:space="preserve"> </w:t>
            </w:r>
            <w:proofErr w:type="spellStart"/>
            <w:r>
              <w:t>directs</w:t>
            </w:r>
            <w:proofErr w:type="spellEnd"/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proofErr w:type="spellStart"/>
            <w:r>
              <w:t>fundraising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r>
              <w:t xml:space="preserve">La </w:t>
            </w:r>
            <w:proofErr w:type="spellStart"/>
            <w:r>
              <w:t>collecte</w:t>
            </w:r>
            <w:proofErr w:type="spellEnd"/>
            <w:r>
              <w:t xml:space="preserve"> de </w:t>
            </w:r>
            <w:proofErr w:type="spellStart"/>
            <w:r>
              <w:t>fonds</w:t>
            </w:r>
            <w:proofErr w:type="spellEnd"/>
          </w:p>
        </w:tc>
      </w:tr>
      <w:tr w:rsidR="00810A1A" w:rsidRPr="00BD6656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proofErr w:type="spellStart"/>
            <w:r>
              <w:t>Mandatory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BD6656" w:rsidRDefault="00810A1A" w:rsidP="00BD6656">
            <w:pPr>
              <w:jc w:val="center"/>
              <w:rPr>
                <w:lang w:val="fr-FR"/>
              </w:rPr>
            </w:pPr>
            <w:r w:rsidRPr="00BD6656">
              <w:rPr>
                <w:lang w:val="fr-FR"/>
              </w:rPr>
              <w:t>Le prépaiement anticipé</w:t>
            </w:r>
          </w:p>
          <w:p w:rsidR="00810A1A" w:rsidRPr="00BD6656" w:rsidRDefault="00810A1A" w:rsidP="00BD66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Pr="00BD6656">
              <w:rPr>
                <w:lang w:val="fr-FR"/>
              </w:rPr>
              <w:t>e paiement d’avance</w:t>
            </w:r>
          </w:p>
          <w:p w:rsidR="00810A1A" w:rsidRPr="00BD6656" w:rsidRDefault="00810A1A" w:rsidP="00BD66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Pr="00BD6656">
              <w:rPr>
                <w:lang w:val="fr-FR"/>
              </w:rPr>
              <w:t>e remboursement anticipé obligatoire</w:t>
            </w:r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r>
              <w:t xml:space="preserve">The </w:t>
            </w:r>
            <w:proofErr w:type="spellStart"/>
            <w:r>
              <w:t>covered</w:t>
            </w:r>
            <w:proofErr w:type="spellEnd"/>
            <w:r>
              <w:t xml:space="preserve"> </w:t>
            </w:r>
            <w:proofErr w:type="spellStart"/>
            <w:r>
              <w:t>population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r>
              <w:t xml:space="preserve">La </w:t>
            </w:r>
            <w:proofErr w:type="spellStart"/>
            <w:r>
              <w:t>population</w:t>
            </w:r>
            <w:proofErr w:type="spellEnd"/>
            <w:r>
              <w:t xml:space="preserve"> </w:t>
            </w:r>
            <w:proofErr w:type="spellStart"/>
            <w:r>
              <w:t>couverte</w:t>
            </w:r>
            <w:proofErr w:type="spellEnd"/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r>
              <w:t xml:space="preserve">The </w:t>
            </w:r>
            <w:proofErr w:type="spellStart"/>
            <w:r>
              <w:t>prepayment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r w:rsidRPr="00C13391">
              <w:t xml:space="preserve">le </w:t>
            </w:r>
            <w:proofErr w:type="spellStart"/>
            <w:r w:rsidRPr="00C13391">
              <w:t>prépaiement</w:t>
            </w:r>
            <w:proofErr w:type="spellEnd"/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proofErr w:type="spellStart"/>
            <w:r>
              <w:t>Financing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proofErr w:type="spellStart"/>
            <w:r>
              <w:t>Système</w:t>
            </w:r>
            <w:proofErr w:type="spellEnd"/>
            <w:r>
              <w:t xml:space="preserve"> de </w:t>
            </w:r>
            <w:proofErr w:type="spellStart"/>
            <w:r>
              <w:t>financement</w:t>
            </w:r>
            <w:proofErr w:type="spellEnd"/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r>
              <w:t xml:space="preserve">The </w:t>
            </w:r>
            <w:proofErr w:type="spellStart"/>
            <w:r>
              <w:t>richest</w:t>
            </w:r>
            <w:proofErr w:type="spellEnd"/>
            <w:r>
              <w:t xml:space="preserve"> (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>)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r>
              <w:t xml:space="preserve">Les </w:t>
            </w:r>
            <w:proofErr w:type="spellStart"/>
            <w:r>
              <w:t>nantis</w:t>
            </w:r>
            <w:proofErr w:type="spellEnd"/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proofErr w:type="spellStart"/>
            <w:r>
              <w:t>Coverage</w:t>
            </w:r>
            <w:proofErr w:type="spellEnd"/>
            <w:r>
              <w:t xml:space="preserve"> </w:t>
            </w:r>
            <w:proofErr w:type="spellStart"/>
            <w:r>
              <w:t>gap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proofErr w:type="spellStart"/>
            <w:r>
              <w:t>Écart</w:t>
            </w:r>
            <w:proofErr w:type="spellEnd"/>
            <w:r>
              <w:t xml:space="preserve"> de </w:t>
            </w:r>
            <w:proofErr w:type="spellStart"/>
            <w:r>
              <w:t>couverture</w:t>
            </w:r>
            <w:proofErr w:type="spellEnd"/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proofErr w:type="spellStart"/>
            <w:r>
              <w:t>Closing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gap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proofErr w:type="spellStart"/>
            <w:r>
              <w:t>Reduire</w:t>
            </w:r>
            <w:proofErr w:type="spellEnd"/>
            <w:r>
              <w:t xml:space="preserve"> </w:t>
            </w:r>
            <w:proofErr w:type="spellStart"/>
            <w:r>
              <w:t>l‘écart</w:t>
            </w:r>
            <w:proofErr w:type="spellEnd"/>
          </w:p>
        </w:tc>
      </w:tr>
      <w:tr w:rsidR="00810A1A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</w:pPr>
            <w:r>
              <w:t xml:space="preserve">The </w:t>
            </w:r>
            <w:proofErr w:type="spellStart"/>
            <w:r>
              <w:t>ill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</w:pPr>
            <w:r>
              <w:t xml:space="preserve">Les </w:t>
            </w:r>
            <w:proofErr w:type="spellStart"/>
            <w:r>
              <w:t>mals</w:t>
            </w:r>
            <w:proofErr w:type="spellEnd"/>
            <w:r>
              <w:t xml:space="preserve"> </w:t>
            </w:r>
            <w:proofErr w:type="spellStart"/>
            <w:r>
              <w:t>portants</w:t>
            </w:r>
            <w:proofErr w:type="spellEnd"/>
          </w:p>
        </w:tc>
      </w:tr>
      <w:tr w:rsidR="00810A1A" w:rsidRPr="00BD6656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r w:rsidRPr="005F01B8">
              <w:rPr>
                <w:lang w:val="en-US"/>
              </w:rPr>
              <w:t>Broad-based social security protection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r w:rsidRPr="005F01B8">
              <w:rPr>
                <w:lang w:val="fr-FR"/>
              </w:rPr>
              <w:t xml:space="preserve">Une protection de sécurité sociale </w:t>
            </w:r>
            <w:r>
              <w:rPr>
                <w:lang w:val="fr-FR"/>
              </w:rPr>
              <w:t>à grande échelle</w:t>
            </w:r>
          </w:p>
        </w:tc>
      </w:tr>
      <w:tr w:rsidR="00810A1A" w:rsidRPr="00BD6656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 joint lead </w:t>
            </w:r>
            <w:proofErr w:type="spellStart"/>
            <w:r>
              <w:rPr>
                <w:lang w:val="fr-FR"/>
              </w:rPr>
              <w:t>agency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Une </w:t>
            </w:r>
            <w:r w:rsidRPr="005F01B8">
              <w:rPr>
                <w:lang w:val="fr-FR"/>
              </w:rPr>
              <w:t>agence co-chef de file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Comprehensive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Complète</w:t>
            </w:r>
          </w:p>
        </w:tc>
      </w:tr>
      <w:tr w:rsidR="00810A1A" w:rsidRPr="00BD6656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Social Protection </w:t>
            </w:r>
            <w:proofErr w:type="spellStart"/>
            <w:r>
              <w:rPr>
                <w:lang w:val="fr-FR"/>
              </w:rPr>
              <w:t>Floors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r w:rsidRPr="005F01B8">
              <w:rPr>
                <w:lang w:val="fr-FR"/>
              </w:rPr>
              <w:t>un Socle de Protection Sociale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Income</w:t>
            </w:r>
            <w:proofErr w:type="spellEnd"/>
            <w:r>
              <w:rPr>
                <w:lang w:val="fr-FR"/>
              </w:rPr>
              <w:t xml:space="preserve"> replacement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Susbstitution</w:t>
            </w:r>
            <w:proofErr w:type="spellEnd"/>
            <w:r>
              <w:rPr>
                <w:lang w:val="fr-FR"/>
              </w:rPr>
              <w:t xml:space="preserve"> de revenue</w:t>
            </w:r>
          </w:p>
        </w:tc>
      </w:tr>
      <w:tr w:rsidR="00810A1A" w:rsidRPr="00BD6656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Over the </w:t>
            </w:r>
            <w:proofErr w:type="spellStart"/>
            <w:r>
              <w:rPr>
                <w:lang w:val="fr-FR"/>
              </w:rPr>
              <w:t>counter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payments</w:t>
            </w:r>
            <w:proofErr w:type="spellEnd"/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fr-FR"/>
              </w:rPr>
            </w:pPr>
            <w:r w:rsidRPr="005F01B8">
              <w:rPr>
                <w:lang w:val="fr-FR"/>
              </w:rPr>
              <w:t>les paiements des médicaments en vente libre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proofErr w:type="gramStart"/>
            <w:r w:rsidRPr="005F01B8">
              <w:rPr>
                <w:lang w:val="en-US"/>
              </w:rPr>
              <w:t>co-payments</w:t>
            </w:r>
            <w:proofErr w:type="gramEnd"/>
            <w:r w:rsidRPr="005F01B8">
              <w:rPr>
                <w:lang w:val="en-US"/>
              </w:rPr>
              <w:t>, co-insurance or deductibles.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FA7EEE" w:rsidRDefault="00810A1A" w:rsidP="00BD6656">
            <w:pPr>
              <w:jc w:val="center"/>
              <w:rPr>
                <w:lang w:val="fr-FR"/>
              </w:rPr>
            </w:pPr>
            <w:proofErr w:type="gramStart"/>
            <w:r w:rsidRPr="00FA7EEE">
              <w:rPr>
                <w:lang w:val="fr-FR"/>
              </w:rPr>
              <w:t>forfait</w:t>
            </w:r>
            <w:proofErr w:type="gramEnd"/>
            <w:r w:rsidRPr="00FA7EEE">
              <w:rPr>
                <w:lang w:val="fr-FR"/>
              </w:rPr>
              <w:t>, de quote-part, de ticket modérateur ou de</w:t>
            </w:r>
          </w:p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r w:rsidRPr="00FA7EEE">
              <w:rPr>
                <w:lang w:val="en-US"/>
              </w:rPr>
              <w:t>franchise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Registry 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 register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Vouchers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Chèque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chèque</w:t>
            </w:r>
            <w:proofErr w:type="spellEnd"/>
            <w:r>
              <w:rPr>
                <w:lang w:val="en-US"/>
              </w:rPr>
              <w:t xml:space="preserve"> santé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Pooling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Regroupement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mise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commun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Insurance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assurance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Common good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F01B8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Bien </w:t>
            </w:r>
            <w:proofErr w:type="spellStart"/>
            <w:r>
              <w:rPr>
                <w:lang w:val="en-US"/>
              </w:rPr>
              <w:t>commun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456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Digital tool 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outil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numérique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Digitalization 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810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numérisation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 source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 source</w:t>
            </w:r>
          </w:p>
        </w:tc>
      </w:tr>
      <w:tr w:rsidR="00810A1A" w:rsidRPr="005367E3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 financing  systems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367E3" w:rsidRDefault="00810A1A" w:rsidP="00BD6656">
            <w:pPr>
              <w:jc w:val="center"/>
              <w:rPr>
                <w:lang w:val="fr-FR"/>
              </w:rPr>
            </w:pPr>
            <w:r w:rsidRPr="005367E3">
              <w:rPr>
                <w:lang w:val="fr-FR"/>
              </w:rPr>
              <w:t>Les système de financement de la sant</w:t>
            </w:r>
            <w:r>
              <w:rPr>
                <w:lang w:val="fr-FR"/>
              </w:rPr>
              <w:t>é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 insurance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L’assurance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médicale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Financial flows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 flux financiers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 care systems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 systems de santé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gestion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gap 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fossé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Processes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processus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stakeholders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Les parties </w:t>
            </w:r>
            <w:proofErr w:type="spellStart"/>
            <w:r>
              <w:rPr>
                <w:lang w:val="en-US"/>
              </w:rPr>
              <w:t>prenantes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Software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logiciel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Member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membres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L’inscription</w:t>
            </w:r>
            <w:proofErr w:type="spellEnd"/>
          </w:p>
        </w:tc>
      </w:tr>
      <w:tr w:rsidR="00810A1A" w:rsidRPr="005367E3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Household</w:t>
            </w:r>
          </w:p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individual 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fr-FR"/>
              </w:rPr>
            </w:pPr>
            <w:r w:rsidRPr="005367E3">
              <w:rPr>
                <w:lang w:val="fr-FR"/>
              </w:rPr>
              <w:t>Les ménages/ les foyers</w:t>
            </w:r>
          </w:p>
          <w:p w:rsidR="00810A1A" w:rsidRPr="005367E3" w:rsidRDefault="00810A1A" w:rsidP="00BD66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individus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server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serveur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 service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 services de santé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4569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patient 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 patient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 facility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L’établissement</w:t>
            </w:r>
            <w:proofErr w:type="spellEnd"/>
            <w:r>
              <w:rPr>
                <w:lang w:val="en-US"/>
              </w:rPr>
              <w:t xml:space="preserve"> de santé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Database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 base de </w:t>
            </w:r>
            <w:proofErr w:type="spellStart"/>
            <w:r>
              <w:rPr>
                <w:lang w:val="en-US"/>
              </w:rPr>
              <w:t>données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Patient treatment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traitement</w:t>
            </w:r>
            <w:proofErr w:type="spellEnd"/>
            <w:r>
              <w:rPr>
                <w:lang w:val="en-US"/>
              </w:rPr>
              <w:t xml:space="preserve"> du patient</w:t>
            </w:r>
          </w:p>
        </w:tc>
      </w:tr>
      <w:tr w:rsidR="00810A1A" w:rsidRPr="00DC0EB1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Claim form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DC0EB1" w:rsidRDefault="00810A1A" w:rsidP="00BD6656">
            <w:pPr>
              <w:jc w:val="center"/>
              <w:rPr>
                <w:lang w:val="fr-FR"/>
              </w:rPr>
            </w:pPr>
            <w:r w:rsidRPr="00DC0EB1">
              <w:rPr>
                <w:lang w:val="fr-FR"/>
              </w:rPr>
              <w:t xml:space="preserve">Le formulaire de </w:t>
            </w:r>
            <w:proofErr w:type="spellStart"/>
            <w:r w:rsidRPr="00DC0EB1">
              <w:rPr>
                <w:lang w:val="fr-FR"/>
              </w:rPr>
              <w:t>reclamation</w:t>
            </w:r>
            <w:proofErr w:type="spellEnd"/>
            <w:r w:rsidRPr="00DC0EB1">
              <w:rPr>
                <w:lang w:val="fr-FR"/>
              </w:rPr>
              <w:t xml:space="preserve"> ‘(de demandes de r</w:t>
            </w:r>
            <w:r>
              <w:rPr>
                <w:lang w:val="fr-FR"/>
              </w:rPr>
              <w:t>éclamation)</w:t>
            </w:r>
          </w:p>
        </w:tc>
      </w:tr>
      <w:tr w:rsidR="00810A1A" w:rsidRPr="00DC0EB1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Claim management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DC0EB1" w:rsidRDefault="00810A1A" w:rsidP="00BD6656">
            <w:pPr>
              <w:jc w:val="center"/>
              <w:rPr>
                <w:lang w:val="fr-FR"/>
              </w:rPr>
            </w:pPr>
            <w:r w:rsidRPr="00DC0EB1">
              <w:rPr>
                <w:lang w:val="fr-FR"/>
              </w:rPr>
              <w:t>Gestion des demandes de remboursement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Reporting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Rapport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Monitoring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suivi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supervision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Évaluation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bilan</w:t>
            </w:r>
            <w:proofErr w:type="spellEnd"/>
          </w:p>
        </w:tc>
      </w:tr>
      <w:tr w:rsidR="00810A1A" w:rsidRPr="00DC0EB1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Patient database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DC0EB1" w:rsidRDefault="00810A1A" w:rsidP="00BD6656">
            <w:pPr>
              <w:jc w:val="center"/>
              <w:rPr>
                <w:lang w:val="fr-FR"/>
              </w:rPr>
            </w:pPr>
            <w:r w:rsidRPr="00DC0EB1">
              <w:rPr>
                <w:lang w:val="fr-FR"/>
              </w:rPr>
              <w:t>Base de données des patients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Benefit package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Avantages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sociaux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Contracted provider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Prestataire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conventionné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contracté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Reimbursement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remboursement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Strategic purchasing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Achats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stratégiques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 provider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Fournisseur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données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Insurance scheme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DC0EB1">
            <w:pPr>
              <w:tabs>
                <w:tab w:val="left" w:pos="780"/>
              </w:tabs>
              <w:rPr>
                <w:lang w:val="en-US"/>
              </w:rPr>
            </w:pPr>
            <w:r>
              <w:rPr>
                <w:lang w:val="en-US"/>
              </w:rPr>
              <w:tab/>
              <w:t xml:space="preserve">Le régime </w:t>
            </w:r>
            <w:proofErr w:type="spellStart"/>
            <w:r>
              <w:rPr>
                <w:lang w:val="en-US"/>
              </w:rPr>
              <w:t>d’assurancxe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National health systems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Système</w:t>
            </w:r>
            <w:proofErr w:type="spellEnd"/>
            <w:r>
              <w:rPr>
                <w:lang w:val="en-US"/>
              </w:rPr>
              <w:t xml:space="preserve"> de santé </w:t>
            </w:r>
            <w:proofErr w:type="spellStart"/>
            <w:r>
              <w:rPr>
                <w:lang w:val="en-US"/>
              </w:rPr>
              <w:t>nationaux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Tax funded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fiscalisés</w:t>
            </w:r>
            <w:proofErr w:type="spellEnd"/>
          </w:p>
        </w:tc>
      </w:tr>
      <w:tr w:rsidR="00810A1A" w:rsidRPr="00DC0EB1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Output based financing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DC0EB1" w:rsidRDefault="00810A1A" w:rsidP="00BD6656">
            <w:pPr>
              <w:jc w:val="center"/>
              <w:rPr>
                <w:lang w:val="fr-FR"/>
              </w:rPr>
            </w:pPr>
            <w:r w:rsidRPr="00DC0EB1">
              <w:rPr>
                <w:lang w:val="fr-FR"/>
              </w:rPr>
              <w:t>Financement basé sur les prestations</w:t>
            </w:r>
            <w:r>
              <w:rPr>
                <w:lang w:val="fr-FR"/>
              </w:rPr>
              <w:t>/ les résultats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Voucher schemes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 w:rsidRPr="00676623">
              <w:rPr>
                <w:lang w:val="en-US"/>
              </w:rPr>
              <w:t xml:space="preserve">Les </w:t>
            </w:r>
            <w:proofErr w:type="spellStart"/>
            <w:r w:rsidRPr="00676623">
              <w:rPr>
                <w:lang w:val="en-US"/>
              </w:rPr>
              <w:t>systèmes</w:t>
            </w:r>
            <w:proofErr w:type="spellEnd"/>
            <w:r w:rsidRPr="00676623">
              <w:rPr>
                <w:lang w:val="en-US"/>
              </w:rPr>
              <w:t xml:space="preserve"> de </w:t>
            </w:r>
            <w:proofErr w:type="spellStart"/>
            <w:r w:rsidRPr="00676623">
              <w:rPr>
                <w:lang w:val="en-US"/>
              </w:rPr>
              <w:t>bons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implementation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oeuvre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Licensed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Sous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accrédité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Download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Télécharger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 ownership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propriété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données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Global community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communauté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globale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Technical assistance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L’assistance</w:t>
            </w:r>
            <w:proofErr w:type="spellEnd"/>
            <w:r>
              <w:rPr>
                <w:lang w:val="en-US"/>
              </w:rPr>
              <w:t xml:space="preserve"> technique</w:t>
            </w:r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Software developer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développeur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logiciels</w:t>
            </w:r>
            <w:proofErr w:type="spellEnd"/>
          </w:p>
        </w:tc>
      </w:tr>
      <w:tr w:rsidR="00810A1A" w:rsidRPr="005F01B8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academia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milieu </w:t>
            </w:r>
            <w:proofErr w:type="spellStart"/>
            <w:r>
              <w:rPr>
                <w:lang w:val="en-US"/>
              </w:rPr>
              <w:t>académique</w:t>
            </w:r>
            <w:proofErr w:type="spellEnd"/>
          </w:p>
        </w:tc>
      </w:tr>
      <w:tr w:rsidR="00810A1A" w:rsidRPr="005A4D9B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BD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Swiss development agency (SDC)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A4D9B" w:rsidRDefault="00810A1A" w:rsidP="00BD6656">
            <w:pPr>
              <w:jc w:val="center"/>
              <w:rPr>
                <w:lang w:val="fr-FR"/>
              </w:rPr>
            </w:pPr>
            <w:r w:rsidRPr="005A4D9B">
              <w:rPr>
                <w:lang w:val="fr-FR"/>
              </w:rPr>
              <w:t>la Direction de la Coopération et de l'aide au développement (DDC)</w:t>
            </w:r>
          </w:p>
        </w:tc>
      </w:tr>
      <w:tr w:rsidR="00810A1A" w:rsidRPr="005A4D9B" w:rsidTr="00810A1A">
        <w:tc>
          <w:tcPr>
            <w:tcW w:w="3681" w:type="dxa"/>
            <w:shd w:val="clear" w:color="auto" w:fill="E7E6E6" w:themeFill="background2"/>
          </w:tcPr>
          <w:p w:rsidR="00810A1A" w:rsidRDefault="00810A1A" w:rsidP="005A4D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German development agency (GIZ)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A4D9B" w:rsidRDefault="00810A1A" w:rsidP="005A4D9B">
            <w:pPr>
              <w:jc w:val="center"/>
              <w:rPr>
                <w:lang w:val="fr-FR"/>
              </w:rPr>
            </w:pPr>
            <w:r w:rsidRPr="005A4D9B">
              <w:rPr>
                <w:lang w:val="fr-FR"/>
              </w:rPr>
              <w:t>l'Agence allemande du développement (G</w:t>
            </w:r>
            <w:r>
              <w:rPr>
                <w:lang w:val="fr-FR"/>
              </w:rPr>
              <w:t>I</w:t>
            </w:r>
            <w:r w:rsidRPr="005A4D9B">
              <w:rPr>
                <w:lang w:val="fr-FR"/>
              </w:rPr>
              <w:t>Z)</w:t>
            </w:r>
          </w:p>
        </w:tc>
      </w:tr>
      <w:tr w:rsidR="00810A1A" w:rsidRPr="005A4D9B" w:rsidTr="00810A1A">
        <w:tc>
          <w:tcPr>
            <w:tcW w:w="3681" w:type="dxa"/>
            <w:shd w:val="clear" w:color="auto" w:fill="E7E6E6" w:themeFill="background2"/>
          </w:tcPr>
          <w:p w:rsidR="00810A1A" w:rsidRPr="005A4D9B" w:rsidRDefault="00810A1A" w:rsidP="005A4D9B">
            <w:pPr>
              <w:jc w:val="center"/>
              <w:rPr>
                <w:lang w:val="en-US"/>
              </w:rPr>
            </w:pPr>
            <w:r w:rsidRPr="005A4D9B">
              <w:rPr>
                <w:rFonts w:cs="Arial"/>
                <w:color w:val="222222"/>
                <w:lang w:val="en-US"/>
              </w:rPr>
              <w:t>The Federal Ministry of Econo</w:t>
            </w:r>
            <w:r>
              <w:rPr>
                <w:rFonts w:cs="Arial"/>
                <w:color w:val="222222"/>
                <w:lang w:val="en-US"/>
              </w:rPr>
              <w:t>mic Cooperation and Development (GDC)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:rsidR="00810A1A" w:rsidRPr="005A4D9B" w:rsidRDefault="00810A1A" w:rsidP="005A4D9B">
            <w:pPr>
              <w:jc w:val="center"/>
              <w:rPr>
                <w:lang w:val="fr-FR"/>
              </w:rPr>
            </w:pPr>
            <w:r w:rsidRPr="005A4D9B">
              <w:rPr>
                <w:lang w:val="fr-FR"/>
              </w:rPr>
              <w:t>Le ministère fédéral de la Coopération économique et du Développemen</w:t>
            </w:r>
            <w:r>
              <w:rPr>
                <w:lang w:val="fr-FR"/>
              </w:rPr>
              <w:t>t (BMZ)</w:t>
            </w:r>
          </w:p>
        </w:tc>
      </w:tr>
      <w:bookmarkEnd w:id="0"/>
    </w:tbl>
    <w:p w:rsidR="000345DC" w:rsidRPr="005A4D9B" w:rsidRDefault="000345DC" w:rsidP="008237D6">
      <w:pPr>
        <w:rPr>
          <w:lang w:val="fr-FR"/>
        </w:rPr>
      </w:pPr>
    </w:p>
    <w:sectPr w:rsidR="000345DC" w:rsidRPr="005A4D9B" w:rsidSect="00E0714A">
      <w:headerReference w:type="default" r:id="rId7"/>
      <w:footerReference w:type="default" r:id="rId8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E5" w:rsidRDefault="00F21FE5" w:rsidP="00E0714A">
      <w:r>
        <w:separator/>
      </w:r>
    </w:p>
  </w:endnote>
  <w:endnote w:type="continuationSeparator" w:id="0">
    <w:p w:rsidR="00F21FE5" w:rsidRDefault="00F21FE5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:rsidTr="000D6C89">
      <w:tc>
        <w:tcPr>
          <w:tcW w:w="1329" w:type="pct"/>
        </w:tcPr>
        <w:p w:rsidR="00703906" w:rsidRDefault="00703906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703906" w:rsidRDefault="00703906" w:rsidP="00703906">
          <w:pPr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810A1A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E5" w:rsidRDefault="00F21FE5" w:rsidP="00E0714A">
      <w:r>
        <w:separator/>
      </w:r>
    </w:p>
  </w:footnote>
  <w:footnote w:type="continuationSeparator" w:id="0">
    <w:p w:rsidR="00F21FE5" w:rsidRDefault="00F21FE5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:rsidTr="000D6C89">
      <w:tc>
        <w:tcPr>
          <w:tcW w:w="3497" w:type="pct"/>
        </w:tcPr>
        <w:p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7E27F80A" wp14:editId="5E638208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EB090B"/>
    <w:multiLevelType w:val="hybridMultilevel"/>
    <w:tmpl w:val="42007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91"/>
    <w:rsid w:val="000345DC"/>
    <w:rsid w:val="003B306D"/>
    <w:rsid w:val="003E29DA"/>
    <w:rsid w:val="003E5CAF"/>
    <w:rsid w:val="00456942"/>
    <w:rsid w:val="005274D4"/>
    <w:rsid w:val="005367E3"/>
    <w:rsid w:val="005A4D9B"/>
    <w:rsid w:val="005C458E"/>
    <w:rsid w:val="005F01B8"/>
    <w:rsid w:val="00676462"/>
    <w:rsid w:val="00676623"/>
    <w:rsid w:val="00681AE3"/>
    <w:rsid w:val="006F7F9F"/>
    <w:rsid w:val="00703906"/>
    <w:rsid w:val="00777255"/>
    <w:rsid w:val="0080748B"/>
    <w:rsid w:val="00810A1A"/>
    <w:rsid w:val="008237D6"/>
    <w:rsid w:val="00900F99"/>
    <w:rsid w:val="00BD6656"/>
    <w:rsid w:val="00C13391"/>
    <w:rsid w:val="00DC0EB1"/>
    <w:rsid w:val="00E0714A"/>
    <w:rsid w:val="00F21FE5"/>
    <w:rsid w:val="00F30AA3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7604"/>
  <w15:chartTrackingRefBased/>
  <w15:docId w15:val="{262AF981-395E-4D31-868B-87249D0F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BD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2857</Characters>
  <Application>Microsoft Office Word</Application>
  <DocSecurity>0</DocSecurity>
  <Lines>357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Glele Ahanhanzova</dc:creator>
  <cp:keywords/>
  <dc:description/>
  <cp:lastModifiedBy>Glele Ahanhanzova, Marilyn GIZ</cp:lastModifiedBy>
  <cp:revision>4</cp:revision>
  <dcterms:created xsi:type="dcterms:W3CDTF">2019-03-01T14:21:00Z</dcterms:created>
  <dcterms:modified xsi:type="dcterms:W3CDTF">2019-04-02T14:03:00Z</dcterms:modified>
</cp:coreProperties>
</file>